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E1" w:rsidRDefault="005E6EE1" w:rsidP="005E6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EE1" w:rsidRDefault="005E6EE1" w:rsidP="005E6E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366.502  D1 Factor (Financial Impact)</w:t>
      </w:r>
      <w:r>
        <w:t xml:space="preserve"> </w:t>
      </w:r>
    </w:p>
    <w:p w:rsidR="005E6EE1" w:rsidRDefault="005E6EE1" w:rsidP="005E6EE1">
      <w:pPr>
        <w:widowControl w:val="0"/>
        <w:autoSpaceDE w:val="0"/>
        <w:autoSpaceDN w:val="0"/>
        <w:adjustRightInd w:val="0"/>
      </w:pPr>
    </w:p>
    <w:p w:rsidR="005E6EE1" w:rsidRDefault="005E6EE1" w:rsidP="005E6EE1">
      <w:pPr>
        <w:widowControl w:val="0"/>
        <w:autoSpaceDE w:val="0"/>
        <w:autoSpaceDN w:val="0"/>
        <w:adjustRightInd w:val="0"/>
      </w:pPr>
      <w:r>
        <w:t xml:space="preserve">D1 is a factor that addresses the financial ability of the unit of local government as in A1 above. </w:t>
      </w:r>
    </w:p>
    <w:sectPr w:rsidR="005E6EE1" w:rsidSect="005E6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EE1"/>
    <w:rsid w:val="004740C7"/>
    <w:rsid w:val="005C3366"/>
    <w:rsid w:val="005E6EE1"/>
    <w:rsid w:val="00BB61E6"/>
    <w:rsid w:val="00C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