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42" w:rsidRDefault="00587142" w:rsidP="005871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7142" w:rsidRDefault="00587142" w:rsidP="00A92B62">
      <w:pPr>
        <w:widowControl w:val="0"/>
        <w:autoSpaceDE w:val="0"/>
        <w:autoSpaceDN w:val="0"/>
        <w:adjustRightInd w:val="0"/>
        <w:jc w:val="center"/>
      </w:pPr>
      <w:r>
        <w:t xml:space="preserve">SUBPART I:  </w:t>
      </w:r>
      <w:r w:rsidR="00A92B62">
        <w:t>FINANCIAL  AND MANAGERIAL CAPABILITY</w:t>
      </w:r>
    </w:p>
    <w:sectPr w:rsidR="00587142" w:rsidSect="005871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142"/>
    <w:rsid w:val="0019428D"/>
    <w:rsid w:val="00587142"/>
    <w:rsid w:val="005C3366"/>
    <w:rsid w:val="00A717E7"/>
    <w:rsid w:val="00A84D18"/>
    <w:rsid w:val="00A92B62"/>
    <w:rsid w:val="00B67F03"/>
    <w:rsid w:val="00E1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REQUIREMENTS FOR SEWER USE ORDINANCE,</vt:lpstr>
    </vt:vector>
  </TitlesOfParts>
  <Company>General Assembly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REQUIREMENTS FOR SEWER USE ORDINANCE,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