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6D5" w:rsidRDefault="00F556D5" w:rsidP="007565F4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7565F4" w:rsidRPr="007565F4" w:rsidRDefault="007565F4" w:rsidP="007565F4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  <w:r w:rsidRPr="007565F4">
        <w:rPr>
          <w:b/>
          <w:bCs/>
        </w:rPr>
        <w:t>Section 365.105  Purpose</w:t>
      </w:r>
    </w:p>
    <w:p w:rsidR="007565F4" w:rsidRPr="007565F4" w:rsidRDefault="007565F4" w:rsidP="007565F4">
      <w:pPr>
        <w:widowControl w:val="0"/>
        <w:overflowPunct w:val="0"/>
        <w:autoSpaceDE w:val="0"/>
        <w:autoSpaceDN w:val="0"/>
        <w:adjustRightInd w:val="0"/>
        <w:textAlignment w:val="baseline"/>
        <w:rPr>
          <w:b/>
          <w:bCs/>
        </w:rPr>
      </w:pPr>
    </w:p>
    <w:p w:rsidR="007565F4" w:rsidRPr="007565F4" w:rsidRDefault="007565F4" w:rsidP="007565F4">
      <w:pPr>
        <w:widowControl w:val="0"/>
      </w:pPr>
      <w:r w:rsidRPr="007565F4">
        <w:t>This Part sets forth procedures to be used by the Agency to operate the Water Pollution Control Loan Program (WPCLP).</w:t>
      </w:r>
      <w:bookmarkStart w:id="0" w:name="_GoBack"/>
      <w:bookmarkEnd w:id="0"/>
    </w:p>
    <w:sectPr w:rsidR="007565F4" w:rsidRPr="007565F4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5F4" w:rsidRDefault="007565F4">
      <w:r>
        <w:separator/>
      </w:r>
    </w:p>
  </w:endnote>
  <w:endnote w:type="continuationSeparator" w:id="0">
    <w:p w:rsidR="007565F4" w:rsidRDefault="0075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5F4" w:rsidRDefault="007565F4">
      <w:r>
        <w:separator/>
      </w:r>
    </w:p>
  </w:footnote>
  <w:footnote w:type="continuationSeparator" w:id="0">
    <w:p w:rsidR="007565F4" w:rsidRDefault="00756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5F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5F4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556D5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8BED6-A5EE-4A27-BA30-9979753D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122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2</cp:revision>
  <dcterms:created xsi:type="dcterms:W3CDTF">2016-10-11T19:48:00Z</dcterms:created>
  <dcterms:modified xsi:type="dcterms:W3CDTF">2016-10-11T20:12:00Z</dcterms:modified>
</cp:coreProperties>
</file>