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DB0" w:rsidRDefault="00173DB0" w:rsidP="00173DB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3DB0" w:rsidRDefault="00173DB0" w:rsidP="00173DB0">
      <w:pPr>
        <w:widowControl w:val="0"/>
        <w:autoSpaceDE w:val="0"/>
        <w:autoSpaceDN w:val="0"/>
        <w:adjustRightInd w:val="0"/>
        <w:jc w:val="center"/>
      </w:pPr>
      <w:r>
        <w:t>SUBPART C:  STANDARD PRIORITY PROJECT GRANTS</w:t>
      </w:r>
    </w:p>
    <w:sectPr w:rsidR="00173DB0" w:rsidSect="00173D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DB0"/>
    <w:rsid w:val="00093420"/>
    <w:rsid w:val="00173DB0"/>
    <w:rsid w:val="004A5D57"/>
    <w:rsid w:val="005C3366"/>
    <w:rsid w:val="006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STANDARD PRIORITY PROJECT GRANTS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STANDARD PRIORITY PROJECT GRANTS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