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F1E" w:rsidRDefault="009F0F1E" w:rsidP="009F0F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0F1E" w:rsidRDefault="009F0F1E" w:rsidP="009F0F1E">
      <w:pPr>
        <w:widowControl w:val="0"/>
        <w:autoSpaceDE w:val="0"/>
        <w:autoSpaceDN w:val="0"/>
        <w:adjustRightInd w:val="0"/>
        <w:jc w:val="center"/>
      </w:pPr>
      <w:r>
        <w:t>SUBPART B:  REQUIREMENTS APPLICABLE TO APPLICATIONS FOR GRANTS</w:t>
      </w:r>
    </w:p>
    <w:sectPr w:rsidR="009F0F1E" w:rsidSect="009F0F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0F1E"/>
    <w:rsid w:val="005C3366"/>
    <w:rsid w:val="009F0F1E"/>
    <w:rsid w:val="00AE7568"/>
    <w:rsid w:val="00ED3A22"/>
    <w:rsid w:val="00FC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REQUIREMENTS APPLICABLE TO APPLICATIONS FOR GRANTS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REQUIREMENTS APPLICABLE TO APPLICATIONS FOR GRANTS</dc:title>
  <dc:subject/>
  <dc:creator>Illinois General Assembly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