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2E" w:rsidRDefault="006E7C2E" w:rsidP="006E7C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C2E" w:rsidRDefault="006E7C2E" w:rsidP="006E7C2E">
      <w:pPr>
        <w:widowControl w:val="0"/>
        <w:autoSpaceDE w:val="0"/>
        <w:autoSpaceDN w:val="0"/>
        <w:adjustRightInd w:val="0"/>
        <w:jc w:val="center"/>
      </w:pPr>
      <w:r>
        <w:t>SUBPART I:  ANTIDEGRADATION PROVISIONS FOR BIOACCUMULATIVE CHEMICALS OF CONCERN</w:t>
      </w:r>
    </w:p>
    <w:sectPr w:rsidR="006E7C2E" w:rsidSect="006E7C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C2E"/>
    <w:rsid w:val="000F432A"/>
    <w:rsid w:val="005C3366"/>
    <w:rsid w:val="006E7C2E"/>
    <w:rsid w:val="0086480A"/>
    <w:rsid w:val="00A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ANTIDEGRADATION PROVISIONS FOR BIOACCUMULATIVE CHEMICALS OF CONCERN</vt:lpstr>
    </vt:vector>
  </TitlesOfParts>
  <Company>General Assembly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ANTIDEGRADATION PROVISIONS FOR BIOACCUMULATIVE CHEMICALS OF CONCERN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