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BC" w:rsidRDefault="000A6FBC" w:rsidP="000A6F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FBC" w:rsidRDefault="000A6FBC" w:rsidP="000A6FBC">
      <w:pPr>
        <w:widowControl w:val="0"/>
        <w:autoSpaceDE w:val="0"/>
        <w:autoSpaceDN w:val="0"/>
        <w:adjustRightInd w:val="0"/>
        <w:jc w:val="center"/>
      </w:pPr>
      <w:r>
        <w:t>SUBPART G:  EFFLUENT LIMITS BELOW THE LEVEL OF QUANTIFICATION</w:t>
      </w:r>
    </w:p>
    <w:sectPr w:rsidR="000A6FBC" w:rsidSect="000A6F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FBC"/>
    <w:rsid w:val="000A6FBC"/>
    <w:rsid w:val="00212C0B"/>
    <w:rsid w:val="003E31AE"/>
    <w:rsid w:val="005C3366"/>
    <w:rsid w:val="00D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EFFLUENT LIMITS BELOW THE LEVEL OF QUANTIFICATION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EFFLUENT LIMITS BELOW THE LEVEL OF QUANTIFICATION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