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93" w:rsidRDefault="006D3A93" w:rsidP="006D3A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3A93" w:rsidRDefault="006D3A93" w:rsidP="006D3A93">
      <w:pPr>
        <w:widowControl w:val="0"/>
        <w:autoSpaceDE w:val="0"/>
        <w:autoSpaceDN w:val="0"/>
        <w:adjustRightInd w:val="0"/>
        <w:jc w:val="center"/>
      </w:pPr>
      <w:r>
        <w:t>SUBPART E:  APPLICATION OF WHOLE EFFLUENT TOXICITY REQUIREMENTS</w:t>
      </w:r>
    </w:p>
    <w:sectPr w:rsidR="006D3A93" w:rsidSect="006D3A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A93"/>
    <w:rsid w:val="001B584D"/>
    <w:rsid w:val="005C3366"/>
    <w:rsid w:val="006D3A93"/>
    <w:rsid w:val="00C77BD4"/>
    <w:rsid w:val="00D2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APPLICATION OF WHOLE EFFLUENT TOXICITY REQUIREMENTS</vt:lpstr>
    </vt:vector>
  </TitlesOfParts>
  <Company>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APPLICATION OF WHOLE EFFLUENT TOXICITY REQUIREMENTS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