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8A9" w:rsidRDefault="00E828A9" w:rsidP="00E828A9">
      <w:pPr>
        <w:widowControl w:val="0"/>
        <w:autoSpaceDE w:val="0"/>
        <w:autoSpaceDN w:val="0"/>
        <w:adjustRightInd w:val="0"/>
      </w:pPr>
      <w:bookmarkStart w:id="0" w:name="_GoBack"/>
      <w:bookmarkEnd w:id="0"/>
    </w:p>
    <w:p w:rsidR="00E828A9" w:rsidRDefault="00E828A9" w:rsidP="00E828A9">
      <w:pPr>
        <w:widowControl w:val="0"/>
        <w:autoSpaceDE w:val="0"/>
        <w:autoSpaceDN w:val="0"/>
        <w:adjustRightInd w:val="0"/>
      </w:pPr>
      <w:r>
        <w:rPr>
          <w:b/>
          <w:bCs/>
        </w:rPr>
        <w:t>Section 352.423  Calculation of Preliminary Effluent Limitation</w:t>
      </w:r>
      <w:r>
        <w:t xml:space="preserve"> </w:t>
      </w:r>
    </w:p>
    <w:p w:rsidR="00E828A9" w:rsidRDefault="00E828A9" w:rsidP="00E828A9">
      <w:pPr>
        <w:widowControl w:val="0"/>
        <w:autoSpaceDE w:val="0"/>
        <w:autoSpaceDN w:val="0"/>
        <w:adjustRightInd w:val="0"/>
      </w:pPr>
    </w:p>
    <w:p w:rsidR="00E828A9" w:rsidRDefault="00E828A9" w:rsidP="00E828A9">
      <w:pPr>
        <w:widowControl w:val="0"/>
        <w:autoSpaceDE w:val="0"/>
        <w:autoSpaceDN w:val="0"/>
        <w:adjustRightInd w:val="0"/>
        <w:ind w:left="1440" w:hanging="720"/>
      </w:pPr>
      <w:r>
        <w:t>a)</w:t>
      </w:r>
      <w:r>
        <w:tab/>
        <w:t xml:space="preserve">The PEL is calculated in a simple mass balance approach reflecting the dilution allowance established in Section 352.422: </w:t>
      </w:r>
    </w:p>
    <w:p w:rsidR="00E828A9" w:rsidRDefault="00E828A9" w:rsidP="00E828A9">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869"/>
        <w:gridCol w:w="236"/>
        <w:gridCol w:w="3854"/>
      </w:tblGrid>
      <w:tr w:rsidR="00FE1CDE">
        <w:tblPrEx>
          <w:tblCellMar>
            <w:top w:w="0" w:type="dxa"/>
            <w:bottom w:w="0" w:type="dxa"/>
          </w:tblCellMar>
        </w:tblPrEx>
        <w:tc>
          <w:tcPr>
            <w:tcW w:w="869" w:type="dxa"/>
          </w:tcPr>
          <w:p w:rsidR="00FE1CDE" w:rsidRDefault="00FE1CDE" w:rsidP="00E828A9">
            <w:pPr>
              <w:widowControl w:val="0"/>
              <w:autoSpaceDE w:val="0"/>
              <w:autoSpaceDN w:val="0"/>
              <w:adjustRightInd w:val="0"/>
            </w:pPr>
            <w:r>
              <w:t>WQS</w:t>
            </w:r>
          </w:p>
        </w:tc>
        <w:tc>
          <w:tcPr>
            <w:tcW w:w="236" w:type="dxa"/>
          </w:tcPr>
          <w:p w:rsidR="00FE1CDE" w:rsidRDefault="00FE1CDE" w:rsidP="00380299">
            <w:pPr>
              <w:widowControl w:val="0"/>
              <w:autoSpaceDE w:val="0"/>
              <w:autoSpaceDN w:val="0"/>
              <w:adjustRightInd w:val="0"/>
              <w:ind w:left="-125" w:right="-90"/>
              <w:jc w:val="center"/>
            </w:pPr>
            <w:r>
              <w:t>=</w:t>
            </w:r>
          </w:p>
        </w:tc>
        <w:tc>
          <w:tcPr>
            <w:tcW w:w="3854" w:type="dxa"/>
          </w:tcPr>
          <w:p w:rsidR="00FE1CDE" w:rsidRDefault="00380299" w:rsidP="00E828A9">
            <w:pPr>
              <w:widowControl w:val="0"/>
              <w:autoSpaceDE w:val="0"/>
              <w:autoSpaceDN w:val="0"/>
              <w:adjustRightInd w:val="0"/>
            </w:pPr>
            <w:r>
              <w:t>[(</w:t>
            </w:r>
            <w:proofErr w:type="spellStart"/>
            <w:r>
              <w:t>Qe</w:t>
            </w:r>
            <w:proofErr w:type="spellEnd"/>
            <w:r>
              <w:t xml:space="preserve">)(PEL) + </w:t>
            </w:r>
            <w:r w:rsidR="00FE1CDE">
              <w:t>(</w:t>
            </w:r>
            <w:proofErr w:type="spellStart"/>
            <w:r w:rsidR="00FE1CDE">
              <w:t>Qd</w:t>
            </w:r>
            <w:proofErr w:type="spellEnd"/>
            <w:r w:rsidR="00FE1CDE">
              <w:t>)(Cd)] / [</w:t>
            </w:r>
            <w:proofErr w:type="spellStart"/>
            <w:r w:rsidR="00FE1CDE">
              <w:t>Qe</w:t>
            </w:r>
            <w:proofErr w:type="spellEnd"/>
            <w:r w:rsidR="00FE1CDE">
              <w:t xml:space="preserve"> +</w:t>
            </w:r>
            <w:r>
              <w:t xml:space="preserve"> </w:t>
            </w:r>
            <w:proofErr w:type="spellStart"/>
            <w:r w:rsidR="00FE1CDE">
              <w:t>Qd</w:t>
            </w:r>
            <w:proofErr w:type="spellEnd"/>
            <w:r w:rsidR="00FE1CDE">
              <w:t>]</w:t>
            </w:r>
          </w:p>
        </w:tc>
      </w:tr>
    </w:tbl>
    <w:p w:rsidR="00380299" w:rsidRDefault="00380299"/>
    <w:p w:rsidR="00380299" w:rsidRDefault="00380299" w:rsidP="00380299">
      <w:pPr>
        <w:ind w:left="3591"/>
      </w:pPr>
      <w:r>
        <w:t>or</w:t>
      </w:r>
    </w:p>
    <w:p w:rsidR="00380299" w:rsidRDefault="00380299"/>
    <w:tbl>
      <w:tblPr>
        <w:tblW w:w="0" w:type="auto"/>
        <w:tblInd w:w="1533" w:type="dxa"/>
        <w:tblLook w:val="0000" w:firstRow="0" w:lastRow="0" w:firstColumn="0" w:lastColumn="0" w:noHBand="0" w:noVBand="0"/>
      </w:tblPr>
      <w:tblGrid>
        <w:gridCol w:w="684"/>
        <w:gridCol w:w="236"/>
        <w:gridCol w:w="7123"/>
      </w:tblGrid>
      <w:tr w:rsidR="00FE1CDE">
        <w:tblPrEx>
          <w:tblCellMar>
            <w:top w:w="0" w:type="dxa"/>
            <w:bottom w:w="0" w:type="dxa"/>
          </w:tblCellMar>
        </w:tblPrEx>
        <w:tc>
          <w:tcPr>
            <w:tcW w:w="684" w:type="dxa"/>
          </w:tcPr>
          <w:p w:rsidR="00FE1CDE" w:rsidRDefault="00FE1CDE" w:rsidP="00E828A9">
            <w:pPr>
              <w:widowControl w:val="0"/>
              <w:autoSpaceDE w:val="0"/>
              <w:autoSpaceDN w:val="0"/>
              <w:adjustRightInd w:val="0"/>
            </w:pPr>
            <w:r>
              <w:t>PEL</w:t>
            </w:r>
          </w:p>
        </w:tc>
        <w:tc>
          <w:tcPr>
            <w:tcW w:w="236" w:type="dxa"/>
          </w:tcPr>
          <w:p w:rsidR="00FE1CDE" w:rsidRDefault="00FE1CDE" w:rsidP="00380299">
            <w:pPr>
              <w:widowControl w:val="0"/>
              <w:autoSpaceDE w:val="0"/>
              <w:autoSpaceDN w:val="0"/>
              <w:adjustRightInd w:val="0"/>
              <w:ind w:left="-125" w:right="-72"/>
              <w:jc w:val="center"/>
            </w:pPr>
            <w:r>
              <w:t>=</w:t>
            </w:r>
          </w:p>
        </w:tc>
        <w:tc>
          <w:tcPr>
            <w:tcW w:w="7123" w:type="dxa"/>
          </w:tcPr>
          <w:p w:rsidR="00FE1CDE" w:rsidRDefault="00FE1CDE" w:rsidP="00E828A9">
            <w:pPr>
              <w:widowControl w:val="0"/>
              <w:autoSpaceDE w:val="0"/>
              <w:autoSpaceDN w:val="0"/>
              <w:adjustRightInd w:val="0"/>
            </w:pPr>
            <w:r>
              <w:t>[WQS(</w:t>
            </w:r>
            <w:proofErr w:type="spellStart"/>
            <w:r>
              <w:t>Qe</w:t>
            </w:r>
            <w:proofErr w:type="spellEnd"/>
            <w:r>
              <w:t xml:space="preserve"> +</w:t>
            </w:r>
            <w:r w:rsidR="00380299">
              <w:t xml:space="preserve"> </w:t>
            </w:r>
            <w:proofErr w:type="spellStart"/>
            <w:r>
              <w:t>Qd</w:t>
            </w:r>
            <w:proofErr w:type="spellEnd"/>
            <w:r>
              <w:t xml:space="preserve">) </w:t>
            </w:r>
            <w:r w:rsidR="00380299">
              <w:t>-</w:t>
            </w:r>
            <w:r>
              <w:t xml:space="preserve"> (</w:t>
            </w:r>
            <w:proofErr w:type="spellStart"/>
            <w:r>
              <w:t>Qd</w:t>
            </w:r>
            <w:proofErr w:type="spellEnd"/>
            <w:r>
              <w:t xml:space="preserve">)(Cd)] / </w:t>
            </w:r>
            <w:proofErr w:type="spellStart"/>
            <w:r>
              <w:t>Qe</w:t>
            </w:r>
            <w:proofErr w:type="spellEnd"/>
          </w:p>
        </w:tc>
      </w:tr>
    </w:tbl>
    <w:p w:rsidR="00380299" w:rsidRDefault="00380299"/>
    <w:p w:rsidR="00380299" w:rsidRDefault="00380299" w:rsidP="00380299">
      <w:pPr>
        <w:ind w:left="1425"/>
      </w:pPr>
      <w:r>
        <w:t>where:</w:t>
      </w:r>
    </w:p>
    <w:p w:rsidR="00380299" w:rsidRDefault="00380299"/>
    <w:tbl>
      <w:tblPr>
        <w:tblW w:w="0" w:type="auto"/>
        <w:tblInd w:w="1533" w:type="dxa"/>
        <w:tblLook w:val="0000" w:firstRow="0" w:lastRow="0" w:firstColumn="0" w:lastColumn="0" w:noHBand="0" w:noVBand="0"/>
      </w:tblPr>
      <w:tblGrid>
        <w:gridCol w:w="753"/>
        <w:gridCol w:w="236"/>
        <w:gridCol w:w="7054"/>
      </w:tblGrid>
      <w:tr w:rsidR="00FE1CDE">
        <w:tblPrEx>
          <w:tblCellMar>
            <w:top w:w="0" w:type="dxa"/>
            <w:bottom w:w="0" w:type="dxa"/>
          </w:tblCellMar>
        </w:tblPrEx>
        <w:tc>
          <w:tcPr>
            <w:tcW w:w="753" w:type="dxa"/>
          </w:tcPr>
          <w:p w:rsidR="00FE1CDE" w:rsidRDefault="00FE1CDE" w:rsidP="00E828A9">
            <w:pPr>
              <w:widowControl w:val="0"/>
              <w:autoSpaceDE w:val="0"/>
              <w:autoSpaceDN w:val="0"/>
              <w:adjustRightInd w:val="0"/>
            </w:pPr>
            <w:r>
              <w:t>WQS</w:t>
            </w:r>
          </w:p>
        </w:tc>
        <w:tc>
          <w:tcPr>
            <w:tcW w:w="236" w:type="dxa"/>
          </w:tcPr>
          <w:p w:rsidR="00FE1CDE" w:rsidRDefault="00FE1CDE" w:rsidP="00380299">
            <w:pPr>
              <w:widowControl w:val="0"/>
              <w:autoSpaceDE w:val="0"/>
              <w:autoSpaceDN w:val="0"/>
              <w:adjustRightInd w:val="0"/>
              <w:ind w:left="-125" w:right="-72"/>
              <w:jc w:val="center"/>
            </w:pPr>
            <w:r>
              <w:t>=</w:t>
            </w:r>
          </w:p>
        </w:tc>
        <w:tc>
          <w:tcPr>
            <w:tcW w:w="7054" w:type="dxa"/>
          </w:tcPr>
          <w:p w:rsidR="00FE1CDE" w:rsidRDefault="00FE1CDE" w:rsidP="00E828A9">
            <w:pPr>
              <w:widowControl w:val="0"/>
              <w:autoSpaceDE w:val="0"/>
              <w:autoSpaceDN w:val="0"/>
              <w:adjustRightInd w:val="0"/>
            </w:pPr>
            <w:r>
              <w:t>applicable water quality standard, criteria or value</w:t>
            </w:r>
          </w:p>
        </w:tc>
      </w:tr>
      <w:tr w:rsidR="00FE1CDE">
        <w:tblPrEx>
          <w:tblCellMar>
            <w:top w:w="0" w:type="dxa"/>
            <w:bottom w:w="0" w:type="dxa"/>
          </w:tblCellMar>
        </w:tblPrEx>
        <w:tc>
          <w:tcPr>
            <w:tcW w:w="753" w:type="dxa"/>
          </w:tcPr>
          <w:p w:rsidR="00FE1CDE" w:rsidRDefault="00FE1CDE" w:rsidP="00E828A9">
            <w:pPr>
              <w:widowControl w:val="0"/>
              <w:autoSpaceDE w:val="0"/>
              <w:autoSpaceDN w:val="0"/>
              <w:adjustRightInd w:val="0"/>
            </w:pPr>
            <w:proofErr w:type="spellStart"/>
            <w:r>
              <w:t>Qe</w:t>
            </w:r>
            <w:proofErr w:type="spellEnd"/>
          </w:p>
        </w:tc>
        <w:tc>
          <w:tcPr>
            <w:tcW w:w="236" w:type="dxa"/>
          </w:tcPr>
          <w:p w:rsidR="00FE1CDE" w:rsidRDefault="00FE1CDE" w:rsidP="00380299">
            <w:pPr>
              <w:widowControl w:val="0"/>
              <w:autoSpaceDE w:val="0"/>
              <w:autoSpaceDN w:val="0"/>
              <w:adjustRightInd w:val="0"/>
              <w:ind w:left="-125" w:right="-72"/>
              <w:jc w:val="center"/>
            </w:pPr>
            <w:r>
              <w:t>=</w:t>
            </w:r>
          </w:p>
        </w:tc>
        <w:tc>
          <w:tcPr>
            <w:tcW w:w="7054" w:type="dxa"/>
          </w:tcPr>
          <w:p w:rsidR="00FE1CDE" w:rsidRDefault="00FE1CDE" w:rsidP="00E828A9">
            <w:pPr>
              <w:widowControl w:val="0"/>
              <w:autoSpaceDE w:val="0"/>
              <w:autoSpaceDN w:val="0"/>
              <w:adjustRightInd w:val="0"/>
            </w:pPr>
            <w:r>
              <w:t xml:space="preserve">effluent </w:t>
            </w:r>
            <w:proofErr w:type="spellStart"/>
            <w:r>
              <w:t>flowrate</w:t>
            </w:r>
            <w:proofErr w:type="spellEnd"/>
          </w:p>
        </w:tc>
      </w:tr>
      <w:tr w:rsidR="00FE1CDE">
        <w:tblPrEx>
          <w:tblCellMar>
            <w:top w:w="0" w:type="dxa"/>
            <w:bottom w:w="0" w:type="dxa"/>
          </w:tblCellMar>
        </w:tblPrEx>
        <w:tc>
          <w:tcPr>
            <w:tcW w:w="753" w:type="dxa"/>
          </w:tcPr>
          <w:p w:rsidR="00FE1CDE" w:rsidRDefault="00FE1CDE" w:rsidP="00E828A9">
            <w:pPr>
              <w:widowControl w:val="0"/>
              <w:autoSpaceDE w:val="0"/>
              <w:autoSpaceDN w:val="0"/>
              <w:adjustRightInd w:val="0"/>
            </w:pPr>
            <w:proofErr w:type="spellStart"/>
            <w:r>
              <w:t>Qd</w:t>
            </w:r>
            <w:proofErr w:type="spellEnd"/>
          </w:p>
        </w:tc>
        <w:tc>
          <w:tcPr>
            <w:tcW w:w="236" w:type="dxa"/>
          </w:tcPr>
          <w:p w:rsidR="00FE1CDE" w:rsidRDefault="00FE1CDE" w:rsidP="00380299">
            <w:pPr>
              <w:widowControl w:val="0"/>
              <w:autoSpaceDE w:val="0"/>
              <w:autoSpaceDN w:val="0"/>
              <w:adjustRightInd w:val="0"/>
              <w:ind w:left="-125" w:right="-72"/>
              <w:jc w:val="center"/>
            </w:pPr>
            <w:r>
              <w:t>=</w:t>
            </w:r>
          </w:p>
        </w:tc>
        <w:tc>
          <w:tcPr>
            <w:tcW w:w="7054" w:type="dxa"/>
          </w:tcPr>
          <w:p w:rsidR="00FE1CDE" w:rsidRDefault="00FE1CDE" w:rsidP="00E828A9">
            <w:pPr>
              <w:widowControl w:val="0"/>
              <w:autoSpaceDE w:val="0"/>
              <w:autoSpaceDN w:val="0"/>
              <w:adjustRightInd w:val="0"/>
            </w:pPr>
            <w:r>
              <w:t xml:space="preserve">allowable dilution </w:t>
            </w:r>
            <w:proofErr w:type="spellStart"/>
            <w:r>
              <w:t>flowrate</w:t>
            </w:r>
            <w:proofErr w:type="spellEnd"/>
          </w:p>
        </w:tc>
      </w:tr>
      <w:tr w:rsidR="00FE1CDE">
        <w:tblPrEx>
          <w:tblCellMar>
            <w:top w:w="0" w:type="dxa"/>
            <w:bottom w:w="0" w:type="dxa"/>
          </w:tblCellMar>
        </w:tblPrEx>
        <w:tc>
          <w:tcPr>
            <w:tcW w:w="753" w:type="dxa"/>
          </w:tcPr>
          <w:p w:rsidR="00FE1CDE" w:rsidRDefault="00FE1CDE" w:rsidP="00E828A9">
            <w:pPr>
              <w:widowControl w:val="0"/>
              <w:autoSpaceDE w:val="0"/>
              <w:autoSpaceDN w:val="0"/>
              <w:adjustRightInd w:val="0"/>
            </w:pPr>
            <w:r>
              <w:t>Cd</w:t>
            </w:r>
          </w:p>
        </w:tc>
        <w:tc>
          <w:tcPr>
            <w:tcW w:w="236" w:type="dxa"/>
          </w:tcPr>
          <w:p w:rsidR="00FE1CDE" w:rsidRDefault="00FE1CDE" w:rsidP="00380299">
            <w:pPr>
              <w:widowControl w:val="0"/>
              <w:autoSpaceDE w:val="0"/>
              <w:autoSpaceDN w:val="0"/>
              <w:adjustRightInd w:val="0"/>
              <w:ind w:left="-125" w:right="-72"/>
              <w:jc w:val="center"/>
            </w:pPr>
            <w:r>
              <w:t>=</w:t>
            </w:r>
          </w:p>
        </w:tc>
        <w:tc>
          <w:tcPr>
            <w:tcW w:w="7054" w:type="dxa"/>
          </w:tcPr>
          <w:p w:rsidR="00FE1CDE" w:rsidRDefault="00FE1CDE" w:rsidP="00E828A9">
            <w:pPr>
              <w:widowControl w:val="0"/>
              <w:autoSpaceDE w:val="0"/>
              <w:autoSpaceDN w:val="0"/>
              <w:adjustRightInd w:val="0"/>
            </w:pPr>
            <w:r>
              <w:t>background pollutant concentration in dilution water</w:t>
            </w:r>
          </w:p>
        </w:tc>
      </w:tr>
    </w:tbl>
    <w:p w:rsidR="00E828A9" w:rsidRDefault="00E828A9" w:rsidP="00E828A9">
      <w:pPr>
        <w:widowControl w:val="0"/>
        <w:autoSpaceDE w:val="0"/>
        <w:autoSpaceDN w:val="0"/>
        <w:adjustRightInd w:val="0"/>
        <w:ind w:left="1440" w:hanging="720"/>
      </w:pPr>
    </w:p>
    <w:p w:rsidR="00E828A9" w:rsidRDefault="00E828A9" w:rsidP="00E828A9">
      <w:pPr>
        <w:widowControl w:val="0"/>
        <w:autoSpaceDE w:val="0"/>
        <w:autoSpaceDN w:val="0"/>
        <w:adjustRightInd w:val="0"/>
        <w:ind w:left="1440" w:hanging="720"/>
      </w:pPr>
      <w:r>
        <w:t>b)</w:t>
      </w:r>
      <w:r>
        <w:tab/>
        <w:t xml:space="preserve">The representative background concentration of pollutants to develop TMDLs and WLAs calculated in the absence of a TMDL shall be established as follows: </w:t>
      </w:r>
    </w:p>
    <w:p w:rsidR="00707303" w:rsidRDefault="00707303" w:rsidP="00E828A9">
      <w:pPr>
        <w:widowControl w:val="0"/>
        <w:autoSpaceDE w:val="0"/>
        <w:autoSpaceDN w:val="0"/>
        <w:adjustRightInd w:val="0"/>
        <w:ind w:left="2160" w:hanging="720"/>
      </w:pPr>
    </w:p>
    <w:p w:rsidR="00E828A9" w:rsidRDefault="00E828A9" w:rsidP="00E828A9">
      <w:pPr>
        <w:widowControl w:val="0"/>
        <w:autoSpaceDE w:val="0"/>
        <w:autoSpaceDN w:val="0"/>
        <w:adjustRightInd w:val="0"/>
        <w:ind w:left="2160" w:hanging="720"/>
      </w:pPr>
      <w:r>
        <w:t>1)</w:t>
      </w:r>
      <w:r>
        <w:tab/>
        <w:t xml:space="preserve">"Background" represents all pollutant loadings, specifically loadings that: </w:t>
      </w:r>
    </w:p>
    <w:p w:rsidR="00707303" w:rsidRDefault="00707303" w:rsidP="00E828A9">
      <w:pPr>
        <w:widowControl w:val="0"/>
        <w:autoSpaceDE w:val="0"/>
        <w:autoSpaceDN w:val="0"/>
        <w:adjustRightInd w:val="0"/>
        <w:ind w:left="2880" w:hanging="720"/>
      </w:pPr>
    </w:p>
    <w:p w:rsidR="00E828A9" w:rsidRDefault="00E828A9" w:rsidP="00E828A9">
      <w:pPr>
        <w:widowControl w:val="0"/>
        <w:autoSpaceDE w:val="0"/>
        <w:autoSpaceDN w:val="0"/>
        <w:adjustRightInd w:val="0"/>
        <w:ind w:left="2880" w:hanging="720"/>
      </w:pPr>
      <w:r>
        <w:t>A)</w:t>
      </w:r>
      <w:r>
        <w:tab/>
        <w:t xml:space="preserve">Flow from upstream waters into the specified watershed, water body, or water body segment for which a TMDL or WLA in the absence of a TMDL is being developed. </w:t>
      </w:r>
    </w:p>
    <w:p w:rsidR="00707303" w:rsidRDefault="00707303" w:rsidP="00E828A9">
      <w:pPr>
        <w:widowControl w:val="0"/>
        <w:autoSpaceDE w:val="0"/>
        <w:autoSpaceDN w:val="0"/>
        <w:adjustRightInd w:val="0"/>
        <w:ind w:left="2880" w:hanging="720"/>
      </w:pPr>
    </w:p>
    <w:p w:rsidR="00E828A9" w:rsidRDefault="00E828A9" w:rsidP="00E828A9">
      <w:pPr>
        <w:widowControl w:val="0"/>
        <w:autoSpaceDE w:val="0"/>
        <w:autoSpaceDN w:val="0"/>
        <w:adjustRightInd w:val="0"/>
        <w:ind w:left="2880" w:hanging="720"/>
      </w:pPr>
      <w:r>
        <w:t>B)</w:t>
      </w:r>
      <w:r>
        <w:tab/>
        <w:t xml:space="preserve">Enter the specified watershed, water body, or water body segment through atmospheric deposition, chemical reaction, or sediment release or </w:t>
      </w:r>
      <w:proofErr w:type="spellStart"/>
      <w:r>
        <w:t>resuspension</w:t>
      </w:r>
      <w:proofErr w:type="spellEnd"/>
      <w:r>
        <w:t xml:space="preserve">. </w:t>
      </w:r>
    </w:p>
    <w:p w:rsidR="00707303" w:rsidRDefault="00707303" w:rsidP="00E828A9">
      <w:pPr>
        <w:widowControl w:val="0"/>
        <w:autoSpaceDE w:val="0"/>
        <w:autoSpaceDN w:val="0"/>
        <w:adjustRightInd w:val="0"/>
        <w:ind w:left="2160" w:hanging="720"/>
      </w:pPr>
    </w:p>
    <w:p w:rsidR="00E828A9" w:rsidRDefault="00E828A9" w:rsidP="00E828A9">
      <w:pPr>
        <w:widowControl w:val="0"/>
        <w:autoSpaceDE w:val="0"/>
        <w:autoSpaceDN w:val="0"/>
        <w:adjustRightInd w:val="0"/>
        <w:ind w:left="2160" w:hanging="720"/>
      </w:pPr>
      <w:r>
        <w:t>2)</w:t>
      </w:r>
      <w:r>
        <w:tab/>
        <w:t xml:space="preserve">When determining what available data are acceptable for use in calculating background, the Agency shall use its best professional judgment, including consideration of the sampling location and the reliability of the data through comparison, in part, to detection and quantification levels.  When data in more than 1 of the data sets or categories described in </w:t>
      </w:r>
      <w:proofErr w:type="spellStart"/>
      <w:r>
        <w:t>susection</w:t>
      </w:r>
      <w:proofErr w:type="spellEnd"/>
      <w:r>
        <w:t xml:space="preserve"> (3) of this subsection (b) exists, best professional judgment shall be used to select the data that most accurately reflects or estimates background concentrations. Pollutant degradation and transport information may be considered when using pollutant loading data to estimate a water column concentration. </w:t>
      </w:r>
    </w:p>
    <w:p w:rsidR="00707303" w:rsidRDefault="00707303" w:rsidP="00E828A9">
      <w:pPr>
        <w:widowControl w:val="0"/>
        <w:autoSpaceDE w:val="0"/>
        <w:autoSpaceDN w:val="0"/>
        <w:adjustRightInd w:val="0"/>
        <w:ind w:left="2160" w:hanging="720"/>
      </w:pPr>
    </w:p>
    <w:p w:rsidR="00E828A9" w:rsidRDefault="00E828A9" w:rsidP="00E828A9">
      <w:pPr>
        <w:widowControl w:val="0"/>
        <w:autoSpaceDE w:val="0"/>
        <w:autoSpaceDN w:val="0"/>
        <w:adjustRightInd w:val="0"/>
        <w:ind w:left="2160" w:hanging="720"/>
      </w:pPr>
      <w:r>
        <w:t>3)</w:t>
      </w:r>
      <w:r>
        <w:tab/>
        <w:t xml:space="preserve">The representative background concentration for a pollutant in the specified watershed, water body, or water body segment shall be established as the geometric mean of acceptable water column data or water column concentrations estimated through the use of acceptable or projected pollutant loading data.  When determining the geometric mean of the data for a pollutant that includes values both above and below the detection level, values less than the detection level shall be assumed to be present at </w:t>
      </w:r>
      <w:r w:rsidR="00380299">
        <w:t>½</w:t>
      </w:r>
      <w:r>
        <w:t xml:space="preserve"> of the detection level if the detection level is less than the lowest water quality value for that pollutant.  If all of the acceptable data in a data set are below the detection level for a pollutant, then all the data for the pollutant in that data set shall be assumed to be zero.  If the detection level of the available data is greater than the lowest water quality value for the pollutant, then the background concentration will be determined by the Agency on a case-by-case basis after considering all representative data, including acceptable fish tissue data. </w:t>
      </w:r>
    </w:p>
    <w:sectPr w:rsidR="00E828A9" w:rsidSect="00E828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28A9"/>
    <w:rsid w:val="00364A57"/>
    <w:rsid w:val="00380299"/>
    <w:rsid w:val="005C3366"/>
    <w:rsid w:val="00707303"/>
    <w:rsid w:val="007D7B9B"/>
    <w:rsid w:val="00C27267"/>
    <w:rsid w:val="00D80FA1"/>
    <w:rsid w:val="00E828A9"/>
    <w:rsid w:val="00FE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8029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8029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352</vt:lpstr>
    </vt:vector>
  </TitlesOfParts>
  <Company>State of Illinois</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