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45B" w:rsidRDefault="0036145B" w:rsidP="0036145B">
      <w:pPr>
        <w:widowControl w:val="0"/>
        <w:autoSpaceDE w:val="0"/>
        <w:autoSpaceDN w:val="0"/>
        <w:adjustRightInd w:val="0"/>
      </w:pPr>
      <w:bookmarkStart w:id="0" w:name="_GoBack"/>
      <w:bookmarkEnd w:id="0"/>
    </w:p>
    <w:p w:rsidR="0036145B" w:rsidRDefault="0036145B" w:rsidP="0036145B">
      <w:pPr>
        <w:widowControl w:val="0"/>
        <w:autoSpaceDE w:val="0"/>
        <w:autoSpaceDN w:val="0"/>
        <w:adjustRightInd w:val="0"/>
      </w:pPr>
      <w:r>
        <w:rPr>
          <w:b/>
          <w:bCs/>
        </w:rPr>
        <w:t>Section 352.412  Conversion Factors for Dissolved and Total Metals</w:t>
      </w:r>
      <w:r>
        <w:t xml:space="preserve"> </w:t>
      </w:r>
    </w:p>
    <w:p w:rsidR="0036145B" w:rsidRDefault="0036145B" w:rsidP="0036145B">
      <w:pPr>
        <w:widowControl w:val="0"/>
        <w:autoSpaceDE w:val="0"/>
        <w:autoSpaceDN w:val="0"/>
        <w:adjustRightInd w:val="0"/>
      </w:pPr>
    </w:p>
    <w:p w:rsidR="0036145B" w:rsidRDefault="0036145B" w:rsidP="0036145B">
      <w:pPr>
        <w:widowControl w:val="0"/>
        <w:autoSpaceDE w:val="0"/>
        <w:autoSpaceDN w:val="0"/>
        <w:adjustRightInd w:val="0"/>
        <w:ind w:left="1440" w:hanging="720"/>
      </w:pPr>
      <w:r>
        <w:t>a)</w:t>
      </w:r>
      <w:r>
        <w:tab/>
        <w:t xml:space="preserve">The numeric standards for certain metal parameters in 35 Ill. Adm. Code 302.504 are established as dissolved forms of the substance since the dissolved form more closely relates to the toxicology literature utilized in deriving the standard. However, most discharge monitoring data used in deriving a PEQ will be from a total recoverable analytical method and permit limits if and when established will be set at total recoverable to accommodate the total recoverable analytical method. The Agency will use a conversion factor to determine the amount of total metal corresponding to dissolved metal for each metal with a water quality standard set at dissolved concentration. In the absence of facility specific data the following default conversion factors will be used for both PEQ derivation and establishing WQBELs. The conversion factor represents the portion of the total recoverable metal presumed to be in dissolved form. The conversion values given in the following table are multiplied by the appropriate total recoverable metal concentration to obtain a corresponding dissolved concentration which then may be compared to the acute or chronic standard.  A dissolved metal concentration may be divided by the conversion factor to obtain a corresponding total metal value which will generally be the metal form regulated in NPDES permits. </w:t>
      </w:r>
    </w:p>
    <w:p w:rsidR="0036145B" w:rsidRDefault="0036145B" w:rsidP="0036145B">
      <w:pPr>
        <w:widowControl w:val="0"/>
        <w:autoSpaceDE w:val="0"/>
        <w:autoSpaceDN w:val="0"/>
        <w:adjustRightInd w:val="0"/>
        <w:ind w:left="1440" w:hanging="720"/>
      </w:pPr>
    </w:p>
    <w:tbl>
      <w:tblPr>
        <w:tblW w:w="0" w:type="auto"/>
        <w:tblInd w:w="849" w:type="dxa"/>
        <w:tblLook w:val="0000" w:firstRow="0" w:lastRow="0" w:firstColumn="0" w:lastColumn="0" w:noHBand="0" w:noVBand="0"/>
      </w:tblPr>
      <w:tblGrid>
        <w:gridCol w:w="2850"/>
        <w:gridCol w:w="3762"/>
        <w:gridCol w:w="2115"/>
      </w:tblGrid>
      <w:tr w:rsidR="00FA6480">
        <w:tblPrEx>
          <w:tblCellMar>
            <w:top w:w="0" w:type="dxa"/>
            <w:bottom w:w="0" w:type="dxa"/>
          </w:tblCellMar>
        </w:tblPrEx>
        <w:tc>
          <w:tcPr>
            <w:tcW w:w="2850" w:type="dxa"/>
            <w:vAlign w:val="bottom"/>
          </w:tcPr>
          <w:p w:rsidR="00FA6480" w:rsidRDefault="00FA6480" w:rsidP="00FA6480">
            <w:pPr>
              <w:widowControl w:val="0"/>
              <w:autoSpaceDE w:val="0"/>
              <w:autoSpaceDN w:val="0"/>
              <w:adjustRightInd w:val="0"/>
              <w:jc w:val="center"/>
            </w:pPr>
            <w:r>
              <w:t>Metal</w:t>
            </w:r>
          </w:p>
        </w:tc>
        <w:tc>
          <w:tcPr>
            <w:tcW w:w="3762" w:type="dxa"/>
          </w:tcPr>
          <w:p w:rsidR="00FA6480" w:rsidRDefault="00FA6480" w:rsidP="00FA6480">
            <w:pPr>
              <w:widowControl w:val="0"/>
              <w:autoSpaceDE w:val="0"/>
              <w:autoSpaceDN w:val="0"/>
              <w:adjustRightInd w:val="0"/>
              <w:jc w:val="center"/>
            </w:pPr>
            <w:r>
              <w:t>Conversion Factor Acute Standard</w:t>
            </w:r>
          </w:p>
        </w:tc>
        <w:tc>
          <w:tcPr>
            <w:tcW w:w="2115" w:type="dxa"/>
            <w:vAlign w:val="bottom"/>
          </w:tcPr>
          <w:p w:rsidR="00FA6480" w:rsidRDefault="00FA6480" w:rsidP="00FA6480">
            <w:pPr>
              <w:widowControl w:val="0"/>
              <w:autoSpaceDE w:val="0"/>
              <w:autoSpaceDN w:val="0"/>
              <w:adjustRightInd w:val="0"/>
              <w:jc w:val="center"/>
            </w:pPr>
            <w:r>
              <w:t>Chronic Standard</w:t>
            </w:r>
          </w:p>
        </w:tc>
      </w:tr>
      <w:tr w:rsidR="00FA6480">
        <w:tblPrEx>
          <w:tblCellMar>
            <w:top w:w="0" w:type="dxa"/>
            <w:bottom w:w="0" w:type="dxa"/>
          </w:tblCellMar>
        </w:tblPrEx>
        <w:tc>
          <w:tcPr>
            <w:tcW w:w="2850" w:type="dxa"/>
          </w:tcPr>
          <w:p w:rsidR="00FA6480" w:rsidRDefault="00FA6480" w:rsidP="0036145B">
            <w:pPr>
              <w:widowControl w:val="0"/>
              <w:autoSpaceDE w:val="0"/>
              <w:autoSpaceDN w:val="0"/>
              <w:adjustRightInd w:val="0"/>
            </w:pPr>
          </w:p>
        </w:tc>
        <w:tc>
          <w:tcPr>
            <w:tcW w:w="3762" w:type="dxa"/>
          </w:tcPr>
          <w:p w:rsidR="00FA6480" w:rsidRDefault="00FA6480" w:rsidP="0036145B">
            <w:pPr>
              <w:widowControl w:val="0"/>
              <w:autoSpaceDE w:val="0"/>
              <w:autoSpaceDN w:val="0"/>
              <w:adjustRightInd w:val="0"/>
            </w:pPr>
          </w:p>
        </w:tc>
        <w:tc>
          <w:tcPr>
            <w:tcW w:w="2115" w:type="dxa"/>
          </w:tcPr>
          <w:p w:rsidR="00FA6480" w:rsidRDefault="00FA6480" w:rsidP="0036145B">
            <w:pPr>
              <w:widowControl w:val="0"/>
              <w:autoSpaceDE w:val="0"/>
              <w:autoSpaceDN w:val="0"/>
              <w:adjustRightInd w:val="0"/>
            </w:pPr>
          </w:p>
        </w:tc>
      </w:tr>
      <w:tr w:rsidR="00FA6480">
        <w:tblPrEx>
          <w:tblCellMar>
            <w:top w:w="0" w:type="dxa"/>
            <w:bottom w:w="0" w:type="dxa"/>
          </w:tblCellMar>
        </w:tblPrEx>
        <w:tc>
          <w:tcPr>
            <w:tcW w:w="2850" w:type="dxa"/>
          </w:tcPr>
          <w:p w:rsidR="00FA6480" w:rsidRDefault="00FA6480" w:rsidP="0036145B">
            <w:pPr>
              <w:widowControl w:val="0"/>
              <w:autoSpaceDE w:val="0"/>
              <w:autoSpaceDN w:val="0"/>
              <w:adjustRightInd w:val="0"/>
            </w:pPr>
            <w:r>
              <w:t>Arsenic</w:t>
            </w:r>
          </w:p>
        </w:tc>
        <w:tc>
          <w:tcPr>
            <w:tcW w:w="3762" w:type="dxa"/>
          </w:tcPr>
          <w:p w:rsidR="00FA6480" w:rsidRDefault="00FA6480" w:rsidP="00FA6480">
            <w:pPr>
              <w:widowControl w:val="0"/>
              <w:autoSpaceDE w:val="0"/>
              <w:autoSpaceDN w:val="0"/>
              <w:adjustRightInd w:val="0"/>
              <w:jc w:val="center"/>
            </w:pPr>
            <w:r>
              <w:t>1.000</w:t>
            </w:r>
          </w:p>
        </w:tc>
        <w:tc>
          <w:tcPr>
            <w:tcW w:w="2115" w:type="dxa"/>
          </w:tcPr>
          <w:p w:rsidR="00FA6480" w:rsidRDefault="00FA6480" w:rsidP="00FA6480">
            <w:pPr>
              <w:widowControl w:val="0"/>
              <w:autoSpaceDE w:val="0"/>
              <w:autoSpaceDN w:val="0"/>
              <w:adjustRightInd w:val="0"/>
              <w:jc w:val="center"/>
            </w:pPr>
            <w:r>
              <w:t>1.000</w:t>
            </w:r>
          </w:p>
        </w:tc>
      </w:tr>
      <w:tr w:rsidR="00FA6480">
        <w:tblPrEx>
          <w:tblCellMar>
            <w:top w:w="0" w:type="dxa"/>
            <w:bottom w:w="0" w:type="dxa"/>
          </w:tblCellMar>
        </w:tblPrEx>
        <w:tc>
          <w:tcPr>
            <w:tcW w:w="2850" w:type="dxa"/>
          </w:tcPr>
          <w:p w:rsidR="00FA6480" w:rsidRDefault="00FA6480" w:rsidP="0036145B">
            <w:pPr>
              <w:widowControl w:val="0"/>
              <w:autoSpaceDE w:val="0"/>
              <w:autoSpaceDN w:val="0"/>
              <w:adjustRightInd w:val="0"/>
            </w:pPr>
          </w:p>
        </w:tc>
        <w:tc>
          <w:tcPr>
            <w:tcW w:w="3762" w:type="dxa"/>
          </w:tcPr>
          <w:p w:rsidR="00FA6480" w:rsidRDefault="00FA6480" w:rsidP="00FA6480">
            <w:pPr>
              <w:widowControl w:val="0"/>
              <w:autoSpaceDE w:val="0"/>
              <w:autoSpaceDN w:val="0"/>
              <w:adjustRightInd w:val="0"/>
              <w:jc w:val="center"/>
            </w:pPr>
          </w:p>
        </w:tc>
        <w:tc>
          <w:tcPr>
            <w:tcW w:w="2115" w:type="dxa"/>
          </w:tcPr>
          <w:p w:rsidR="00FA6480" w:rsidRDefault="00FA6480" w:rsidP="00FA6480">
            <w:pPr>
              <w:widowControl w:val="0"/>
              <w:autoSpaceDE w:val="0"/>
              <w:autoSpaceDN w:val="0"/>
              <w:adjustRightInd w:val="0"/>
              <w:jc w:val="center"/>
            </w:pPr>
          </w:p>
        </w:tc>
      </w:tr>
      <w:tr w:rsidR="00FA6480">
        <w:tblPrEx>
          <w:tblCellMar>
            <w:top w:w="0" w:type="dxa"/>
            <w:bottom w:w="0" w:type="dxa"/>
          </w:tblCellMar>
        </w:tblPrEx>
        <w:tc>
          <w:tcPr>
            <w:tcW w:w="2850" w:type="dxa"/>
          </w:tcPr>
          <w:p w:rsidR="00FA6480" w:rsidRDefault="00FA6480" w:rsidP="0036145B">
            <w:pPr>
              <w:widowControl w:val="0"/>
              <w:autoSpaceDE w:val="0"/>
              <w:autoSpaceDN w:val="0"/>
              <w:adjustRightInd w:val="0"/>
            </w:pPr>
            <w:r>
              <w:t>Cadmium</w:t>
            </w:r>
          </w:p>
        </w:tc>
        <w:tc>
          <w:tcPr>
            <w:tcW w:w="3762" w:type="dxa"/>
          </w:tcPr>
          <w:p w:rsidR="00FA6480" w:rsidRDefault="00FA6480" w:rsidP="00FA6480">
            <w:pPr>
              <w:widowControl w:val="0"/>
              <w:autoSpaceDE w:val="0"/>
              <w:autoSpaceDN w:val="0"/>
              <w:adjustRightInd w:val="0"/>
              <w:jc w:val="center"/>
            </w:pPr>
            <w:r>
              <w:t>0.850</w:t>
            </w:r>
          </w:p>
        </w:tc>
        <w:tc>
          <w:tcPr>
            <w:tcW w:w="2115" w:type="dxa"/>
          </w:tcPr>
          <w:p w:rsidR="00FA6480" w:rsidRDefault="00FA6480" w:rsidP="00FA6480">
            <w:pPr>
              <w:widowControl w:val="0"/>
              <w:autoSpaceDE w:val="0"/>
              <w:autoSpaceDN w:val="0"/>
              <w:adjustRightInd w:val="0"/>
              <w:jc w:val="center"/>
            </w:pPr>
            <w:r>
              <w:t>0.850</w:t>
            </w:r>
          </w:p>
        </w:tc>
      </w:tr>
      <w:tr w:rsidR="00FA6480">
        <w:tblPrEx>
          <w:tblCellMar>
            <w:top w:w="0" w:type="dxa"/>
            <w:bottom w:w="0" w:type="dxa"/>
          </w:tblCellMar>
        </w:tblPrEx>
        <w:tc>
          <w:tcPr>
            <w:tcW w:w="2850" w:type="dxa"/>
          </w:tcPr>
          <w:p w:rsidR="00FA6480" w:rsidRDefault="00FA6480" w:rsidP="0036145B">
            <w:pPr>
              <w:widowControl w:val="0"/>
              <w:autoSpaceDE w:val="0"/>
              <w:autoSpaceDN w:val="0"/>
              <w:adjustRightInd w:val="0"/>
            </w:pPr>
          </w:p>
        </w:tc>
        <w:tc>
          <w:tcPr>
            <w:tcW w:w="3762" w:type="dxa"/>
          </w:tcPr>
          <w:p w:rsidR="00FA6480" w:rsidRDefault="00FA6480" w:rsidP="00FA6480">
            <w:pPr>
              <w:widowControl w:val="0"/>
              <w:autoSpaceDE w:val="0"/>
              <w:autoSpaceDN w:val="0"/>
              <w:adjustRightInd w:val="0"/>
              <w:jc w:val="center"/>
            </w:pPr>
          </w:p>
        </w:tc>
        <w:tc>
          <w:tcPr>
            <w:tcW w:w="2115" w:type="dxa"/>
          </w:tcPr>
          <w:p w:rsidR="00FA6480" w:rsidRDefault="00FA6480" w:rsidP="00FA6480">
            <w:pPr>
              <w:widowControl w:val="0"/>
              <w:autoSpaceDE w:val="0"/>
              <w:autoSpaceDN w:val="0"/>
              <w:adjustRightInd w:val="0"/>
              <w:jc w:val="center"/>
            </w:pPr>
          </w:p>
        </w:tc>
      </w:tr>
      <w:tr w:rsidR="00FA6480">
        <w:tblPrEx>
          <w:tblCellMar>
            <w:top w:w="0" w:type="dxa"/>
            <w:bottom w:w="0" w:type="dxa"/>
          </w:tblCellMar>
        </w:tblPrEx>
        <w:tc>
          <w:tcPr>
            <w:tcW w:w="2850" w:type="dxa"/>
          </w:tcPr>
          <w:p w:rsidR="00FA6480" w:rsidRDefault="00FA6480" w:rsidP="0036145B">
            <w:pPr>
              <w:widowControl w:val="0"/>
              <w:autoSpaceDE w:val="0"/>
              <w:autoSpaceDN w:val="0"/>
              <w:adjustRightInd w:val="0"/>
            </w:pPr>
            <w:r>
              <w:t>Chromium (Trivalent)</w:t>
            </w:r>
          </w:p>
        </w:tc>
        <w:tc>
          <w:tcPr>
            <w:tcW w:w="3762" w:type="dxa"/>
          </w:tcPr>
          <w:p w:rsidR="00FA6480" w:rsidRDefault="00FA6480" w:rsidP="00FA6480">
            <w:pPr>
              <w:widowControl w:val="0"/>
              <w:autoSpaceDE w:val="0"/>
              <w:autoSpaceDN w:val="0"/>
              <w:adjustRightInd w:val="0"/>
              <w:jc w:val="center"/>
            </w:pPr>
            <w:r>
              <w:t>0.316</w:t>
            </w:r>
          </w:p>
        </w:tc>
        <w:tc>
          <w:tcPr>
            <w:tcW w:w="2115" w:type="dxa"/>
          </w:tcPr>
          <w:p w:rsidR="00FA6480" w:rsidRDefault="00FA6480" w:rsidP="00FA6480">
            <w:pPr>
              <w:widowControl w:val="0"/>
              <w:autoSpaceDE w:val="0"/>
              <w:autoSpaceDN w:val="0"/>
              <w:adjustRightInd w:val="0"/>
              <w:jc w:val="center"/>
            </w:pPr>
            <w:r>
              <w:t>0.860</w:t>
            </w:r>
          </w:p>
        </w:tc>
      </w:tr>
      <w:tr w:rsidR="00FA6480">
        <w:tblPrEx>
          <w:tblCellMar>
            <w:top w:w="0" w:type="dxa"/>
            <w:bottom w:w="0" w:type="dxa"/>
          </w:tblCellMar>
        </w:tblPrEx>
        <w:tc>
          <w:tcPr>
            <w:tcW w:w="2850" w:type="dxa"/>
          </w:tcPr>
          <w:p w:rsidR="00FA6480" w:rsidRDefault="00FA6480" w:rsidP="0036145B">
            <w:pPr>
              <w:widowControl w:val="0"/>
              <w:autoSpaceDE w:val="0"/>
              <w:autoSpaceDN w:val="0"/>
              <w:adjustRightInd w:val="0"/>
            </w:pPr>
          </w:p>
        </w:tc>
        <w:tc>
          <w:tcPr>
            <w:tcW w:w="3762" w:type="dxa"/>
          </w:tcPr>
          <w:p w:rsidR="00FA6480" w:rsidRDefault="00FA6480" w:rsidP="00FA6480">
            <w:pPr>
              <w:widowControl w:val="0"/>
              <w:autoSpaceDE w:val="0"/>
              <w:autoSpaceDN w:val="0"/>
              <w:adjustRightInd w:val="0"/>
              <w:jc w:val="center"/>
            </w:pPr>
          </w:p>
        </w:tc>
        <w:tc>
          <w:tcPr>
            <w:tcW w:w="2115" w:type="dxa"/>
          </w:tcPr>
          <w:p w:rsidR="00FA6480" w:rsidRDefault="00FA6480" w:rsidP="00FA6480">
            <w:pPr>
              <w:widowControl w:val="0"/>
              <w:autoSpaceDE w:val="0"/>
              <w:autoSpaceDN w:val="0"/>
              <w:adjustRightInd w:val="0"/>
              <w:jc w:val="center"/>
            </w:pPr>
          </w:p>
        </w:tc>
      </w:tr>
      <w:tr w:rsidR="00FA6480">
        <w:tblPrEx>
          <w:tblCellMar>
            <w:top w:w="0" w:type="dxa"/>
            <w:bottom w:w="0" w:type="dxa"/>
          </w:tblCellMar>
        </w:tblPrEx>
        <w:tc>
          <w:tcPr>
            <w:tcW w:w="2850" w:type="dxa"/>
          </w:tcPr>
          <w:p w:rsidR="00FA6480" w:rsidRDefault="00FA6480" w:rsidP="0036145B">
            <w:pPr>
              <w:widowControl w:val="0"/>
              <w:autoSpaceDE w:val="0"/>
              <w:autoSpaceDN w:val="0"/>
              <w:adjustRightInd w:val="0"/>
            </w:pPr>
            <w:r>
              <w:t>Chromium (Hexavalent)</w:t>
            </w:r>
          </w:p>
        </w:tc>
        <w:tc>
          <w:tcPr>
            <w:tcW w:w="3762" w:type="dxa"/>
          </w:tcPr>
          <w:p w:rsidR="00FA6480" w:rsidRDefault="00FA6480" w:rsidP="00FA6480">
            <w:pPr>
              <w:widowControl w:val="0"/>
              <w:autoSpaceDE w:val="0"/>
              <w:autoSpaceDN w:val="0"/>
              <w:adjustRightInd w:val="0"/>
              <w:jc w:val="center"/>
            </w:pPr>
            <w:r>
              <w:t>0.982</w:t>
            </w:r>
          </w:p>
        </w:tc>
        <w:tc>
          <w:tcPr>
            <w:tcW w:w="2115" w:type="dxa"/>
          </w:tcPr>
          <w:p w:rsidR="00FA6480" w:rsidRDefault="00FA6480" w:rsidP="00FA6480">
            <w:pPr>
              <w:widowControl w:val="0"/>
              <w:autoSpaceDE w:val="0"/>
              <w:autoSpaceDN w:val="0"/>
              <w:adjustRightInd w:val="0"/>
              <w:jc w:val="center"/>
            </w:pPr>
            <w:r>
              <w:t>0.962</w:t>
            </w:r>
          </w:p>
        </w:tc>
      </w:tr>
      <w:tr w:rsidR="00FA6480">
        <w:tblPrEx>
          <w:tblCellMar>
            <w:top w:w="0" w:type="dxa"/>
            <w:bottom w:w="0" w:type="dxa"/>
          </w:tblCellMar>
        </w:tblPrEx>
        <w:tc>
          <w:tcPr>
            <w:tcW w:w="2850" w:type="dxa"/>
          </w:tcPr>
          <w:p w:rsidR="00FA6480" w:rsidRDefault="00FA6480" w:rsidP="0036145B">
            <w:pPr>
              <w:widowControl w:val="0"/>
              <w:autoSpaceDE w:val="0"/>
              <w:autoSpaceDN w:val="0"/>
              <w:adjustRightInd w:val="0"/>
            </w:pPr>
          </w:p>
        </w:tc>
        <w:tc>
          <w:tcPr>
            <w:tcW w:w="3762" w:type="dxa"/>
          </w:tcPr>
          <w:p w:rsidR="00FA6480" w:rsidRDefault="00FA6480" w:rsidP="00FA6480">
            <w:pPr>
              <w:widowControl w:val="0"/>
              <w:autoSpaceDE w:val="0"/>
              <w:autoSpaceDN w:val="0"/>
              <w:adjustRightInd w:val="0"/>
              <w:jc w:val="center"/>
            </w:pPr>
          </w:p>
        </w:tc>
        <w:tc>
          <w:tcPr>
            <w:tcW w:w="2115" w:type="dxa"/>
          </w:tcPr>
          <w:p w:rsidR="00FA6480" w:rsidRDefault="00FA6480" w:rsidP="00FA6480">
            <w:pPr>
              <w:widowControl w:val="0"/>
              <w:autoSpaceDE w:val="0"/>
              <w:autoSpaceDN w:val="0"/>
              <w:adjustRightInd w:val="0"/>
              <w:jc w:val="center"/>
            </w:pPr>
          </w:p>
        </w:tc>
      </w:tr>
      <w:tr w:rsidR="00FA6480">
        <w:tblPrEx>
          <w:tblCellMar>
            <w:top w:w="0" w:type="dxa"/>
            <w:bottom w:w="0" w:type="dxa"/>
          </w:tblCellMar>
        </w:tblPrEx>
        <w:tc>
          <w:tcPr>
            <w:tcW w:w="2850" w:type="dxa"/>
          </w:tcPr>
          <w:p w:rsidR="00FA6480" w:rsidRDefault="00FA6480" w:rsidP="0036145B">
            <w:pPr>
              <w:widowControl w:val="0"/>
              <w:autoSpaceDE w:val="0"/>
              <w:autoSpaceDN w:val="0"/>
              <w:adjustRightInd w:val="0"/>
            </w:pPr>
            <w:r>
              <w:t>Copper</w:t>
            </w:r>
          </w:p>
        </w:tc>
        <w:tc>
          <w:tcPr>
            <w:tcW w:w="3762" w:type="dxa"/>
          </w:tcPr>
          <w:p w:rsidR="00FA6480" w:rsidRDefault="00FA6480" w:rsidP="00FA6480">
            <w:pPr>
              <w:widowControl w:val="0"/>
              <w:autoSpaceDE w:val="0"/>
              <w:autoSpaceDN w:val="0"/>
              <w:adjustRightInd w:val="0"/>
              <w:jc w:val="center"/>
            </w:pPr>
            <w:r>
              <w:t>0.960</w:t>
            </w:r>
          </w:p>
        </w:tc>
        <w:tc>
          <w:tcPr>
            <w:tcW w:w="2115" w:type="dxa"/>
          </w:tcPr>
          <w:p w:rsidR="00FA6480" w:rsidRDefault="00FA6480" w:rsidP="00FA6480">
            <w:pPr>
              <w:widowControl w:val="0"/>
              <w:autoSpaceDE w:val="0"/>
              <w:autoSpaceDN w:val="0"/>
              <w:adjustRightInd w:val="0"/>
              <w:jc w:val="center"/>
            </w:pPr>
            <w:r>
              <w:t>0.960</w:t>
            </w:r>
          </w:p>
        </w:tc>
      </w:tr>
      <w:tr w:rsidR="00FA6480">
        <w:tblPrEx>
          <w:tblCellMar>
            <w:top w:w="0" w:type="dxa"/>
            <w:bottom w:w="0" w:type="dxa"/>
          </w:tblCellMar>
        </w:tblPrEx>
        <w:tc>
          <w:tcPr>
            <w:tcW w:w="2850" w:type="dxa"/>
          </w:tcPr>
          <w:p w:rsidR="00FA6480" w:rsidRDefault="00FA6480" w:rsidP="0036145B">
            <w:pPr>
              <w:widowControl w:val="0"/>
              <w:autoSpaceDE w:val="0"/>
              <w:autoSpaceDN w:val="0"/>
              <w:adjustRightInd w:val="0"/>
            </w:pPr>
          </w:p>
        </w:tc>
        <w:tc>
          <w:tcPr>
            <w:tcW w:w="3762" w:type="dxa"/>
          </w:tcPr>
          <w:p w:rsidR="00FA6480" w:rsidRDefault="00FA6480" w:rsidP="00FA6480">
            <w:pPr>
              <w:widowControl w:val="0"/>
              <w:autoSpaceDE w:val="0"/>
              <w:autoSpaceDN w:val="0"/>
              <w:adjustRightInd w:val="0"/>
              <w:jc w:val="center"/>
            </w:pPr>
          </w:p>
        </w:tc>
        <w:tc>
          <w:tcPr>
            <w:tcW w:w="2115" w:type="dxa"/>
          </w:tcPr>
          <w:p w:rsidR="00FA6480" w:rsidRDefault="00FA6480" w:rsidP="00FA6480">
            <w:pPr>
              <w:widowControl w:val="0"/>
              <w:autoSpaceDE w:val="0"/>
              <w:autoSpaceDN w:val="0"/>
              <w:adjustRightInd w:val="0"/>
              <w:jc w:val="center"/>
            </w:pPr>
          </w:p>
        </w:tc>
      </w:tr>
      <w:tr w:rsidR="00FA6480">
        <w:tblPrEx>
          <w:tblCellMar>
            <w:top w:w="0" w:type="dxa"/>
            <w:bottom w:w="0" w:type="dxa"/>
          </w:tblCellMar>
        </w:tblPrEx>
        <w:tc>
          <w:tcPr>
            <w:tcW w:w="2850" w:type="dxa"/>
          </w:tcPr>
          <w:p w:rsidR="00FA6480" w:rsidRDefault="00FA6480" w:rsidP="00AC0C41">
            <w:pPr>
              <w:widowControl w:val="0"/>
              <w:autoSpaceDE w:val="0"/>
              <w:autoSpaceDN w:val="0"/>
              <w:adjustRightInd w:val="0"/>
            </w:pPr>
            <w:r>
              <w:t>Mercury</w:t>
            </w:r>
          </w:p>
        </w:tc>
        <w:tc>
          <w:tcPr>
            <w:tcW w:w="3762" w:type="dxa"/>
          </w:tcPr>
          <w:p w:rsidR="00FA6480" w:rsidRDefault="00FA6480" w:rsidP="00FA6480">
            <w:pPr>
              <w:widowControl w:val="0"/>
              <w:autoSpaceDE w:val="0"/>
              <w:autoSpaceDN w:val="0"/>
              <w:adjustRightInd w:val="0"/>
              <w:jc w:val="center"/>
            </w:pPr>
            <w:r>
              <w:t>0.850</w:t>
            </w:r>
          </w:p>
        </w:tc>
        <w:tc>
          <w:tcPr>
            <w:tcW w:w="2115" w:type="dxa"/>
          </w:tcPr>
          <w:p w:rsidR="00FA6480" w:rsidRDefault="00FA6480" w:rsidP="00FA6480">
            <w:pPr>
              <w:widowControl w:val="0"/>
              <w:autoSpaceDE w:val="0"/>
              <w:autoSpaceDN w:val="0"/>
              <w:adjustRightInd w:val="0"/>
              <w:jc w:val="center"/>
            </w:pPr>
            <w:r>
              <w:t>0.850</w:t>
            </w:r>
          </w:p>
        </w:tc>
      </w:tr>
      <w:tr w:rsidR="00FA6480">
        <w:tblPrEx>
          <w:tblCellMar>
            <w:top w:w="0" w:type="dxa"/>
            <w:bottom w:w="0" w:type="dxa"/>
          </w:tblCellMar>
        </w:tblPrEx>
        <w:tc>
          <w:tcPr>
            <w:tcW w:w="2850" w:type="dxa"/>
          </w:tcPr>
          <w:p w:rsidR="00FA6480" w:rsidRDefault="00FA6480" w:rsidP="00AC0C41">
            <w:pPr>
              <w:widowControl w:val="0"/>
              <w:autoSpaceDE w:val="0"/>
              <w:autoSpaceDN w:val="0"/>
              <w:adjustRightInd w:val="0"/>
            </w:pPr>
          </w:p>
        </w:tc>
        <w:tc>
          <w:tcPr>
            <w:tcW w:w="3762" w:type="dxa"/>
          </w:tcPr>
          <w:p w:rsidR="00FA6480" w:rsidRDefault="00FA6480" w:rsidP="00FA6480">
            <w:pPr>
              <w:widowControl w:val="0"/>
              <w:autoSpaceDE w:val="0"/>
              <w:autoSpaceDN w:val="0"/>
              <w:adjustRightInd w:val="0"/>
              <w:jc w:val="center"/>
            </w:pPr>
          </w:p>
        </w:tc>
        <w:tc>
          <w:tcPr>
            <w:tcW w:w="2115" w:type="dxa"/>
          </w:tcPr>
          <w:p w:rsidR="00FA6480" w:rsidRDefault="00FA6480" w:rsidP="00FA6480">
            <w:pPr>
              <w:widowControl w:val="0"/>
              <w:autoSpaceDE w:val="0"/>
              <w:autoSpaceDN w:val="0"/>
              <w:adjustRightInd w:val="0"/>
              <w:jc w:val="center"/>
            </w:pPr>
          </w:p>
        </w:tc>
      </w:tr>
      <w:tr w:rsidR="00FA6480">
        <w:tblPrEx>
          <w:tblCellMar>
            <w:top w:w="0" w:type="dxa"/>
            <w:bottom w:w="0" w:type="dxa"/>
          </w:tblCellMar>
        </w:tblPrEx>
        <w:tc>
          <w:tcPr>
            <w:tcW w:w="2850" w:type="dxa"/>
          </w:tcPr>
          <w:p w:rsidR="00FA6480" w:rsidRDefault="00FA6480" w:rsidP="00AC0C41">
            <w:pPr>
              <w:widowControl w:val="0"/>
              <w:autoSpaceDE w:val="0"/>
              <w:autoSpaceDN w:val="0"/>
              <w:adjustRightInd w:val="0"/>
            </w:pPr>
            <w:r>
              <w:t>Nickel</w:t>
            </w:r>
          </w:p>
        </w:tc>
        <w:tc>
          <w:tcPr>
            <w:tcW w:w="3762" w:type="dxa"/>
          </w:tcPr>
          <w:p w:rsidR="00FA6480" w:rsidRDefault="00FA6480" w:rsidP="00FA6480">
            <w:pPr>
              <w:widowControl w:val="0"/>
              <w:autoSpaceDE w:val="0"/>
              <w:autoSpaceDN w:val="0"/>
              <w:adjustRightInd w:val="0"/>
              <w:jc w:val="center"/>
            </w:pPr>
            <w:r>
              <w:t>0.998</w:t>
            </w:r>
          </w:p>
        </w:tc>
        <w:tc>
          <w:tcPr>
            <w:tcW w:w="2115" w:type="dxa"/>
          </w:tcPr>
          <w:p w:rsidR="00FA6480" w:rsidRDefault="00FA6480" w:rsidP="00FA6480">
            <w:pPr>
              <w:widowControl w:val="0"/>
              <w:autoSpaceDE w:val="0"/>
              <w:autoSpaceDN w:val="0"/>
              <w:adjustRightInd w:val="0"/>
              <w:jc w:val="center"/>
            </w:pPr>
            <w:r>
              <w:t>0.997</w:t>
            </w:r>
          </w:p>
        </w:tc>
      </w:tr>
      <w:tr w:rsidR="00FA6480">
        <w:tblPrEx>
          <w:tblCellMar>
            <w:top w:w="0" w:type="dxa"/>
            <w:bottom w:w="0" w:type="dxa"/>
          </w:tblCellMar>
        </w:tblPrEx>
        <w:tc>
          <w:tcPr>
            <w:tcW w:w="2850" w:type="dxa"/>
          </w:tcPr>
          <w:p w:rsidR="00FA6480" w:rsidRDefault="00FA6480" w:rsidP="00AC0C41">
            <w:pPr>
              <w:widowControl w:val="0"/>
              <w:autoSpaceDE w:val="0"/>
              <w:autoSpaceDN w:val="0"/>
              <w:adjustRightInd w:val="0"/>
            </w:pPr>
          </w:p>
        </w:tc>
        <w:tc>
          <w:tcPr>
            <w:tcW w:w="3762" w:type="dxa"/>
          </w:tcPr>
          <w:p w:rsidR="00FA6480" w:rsidRDefault="00FA6480" w:rsidP="00FA6480">
            <w:pPr>
              <w:widowControl w:val="0"/>
              <w:autoSpaceDE w:val="0"/>
              <w:autoSpaceDN w:val="0"/>
              <w:adjustRightInd w:val="0"/>
              <w:jc w:val="center"/>
            </w:pPr>
          </w:p>
        </w:tc>
        <w:tc>
          <w:tcPr>
            <w:tcW w:w="2115" w:type="dxa"/>
          </w:tcPr>
          <w:p w:rsidR="00FA6480" w:rsidRDefault="00FA6480" w:rsidP="00FA6480">
            <w:pPr>
              <w:widowControl w:val="0"/>
              <w:autoSpaceDE w:val="0"/>
              <w:autoSpaceDN w:val="0"/>
              <w:adjustRightInd w:val="0"/>
              <w:jc w:val="center"/>
            </w:pPr>
          </w:p>
        </w:tc>
      </w:tr>
      <w:tr w:rsidR="00FA6480">
        <w:tblPrEx>
          <w:tblCellMar>
            <w:top w:w="0" w:type="dxa"/>
            <w:bottom w:w="0" w:type="dxa"/>
          </w:tblCellMar>
        </w:tblPrEx>
        <w:tc>
          <w:tcPr>
            <w:tcW w:w="2850" w:type="dxa"/>
          </w:tcPr>
          <w:p w:rsidR="00FA6480" w:rsidRDefault="00FA6480" w:rsidP="00AC0C41">
            <w:pPr>
              <w:widowControl w:val="0"/>
              <w:autoSpaceDE w:val="0"/>
              <w:autoSpaceDN w:val="0"/>
              <w:adjustRightInd w:val="0"/>
            </w:pPr>
            <w:r>
              <w:t>Selenium</w:t>
            </w:r>
          </w:p>
        </w:tc>
        <w:tc>
          <w:tcPr>
            <w:tcW w:w="3762" w:type="dxa"/>
          </w:tcPr>
          <w:p w:rsidR="00FA6480" w:rsidRDefault="00FA6480" w:rsidP="00FA6480">
            <w:pPr>
              <w:widowControl w:val="0"/>
              <w:autoSpaceDE w:val="0"/>
              <w:autoSpaceDN w:val="0"/>
              <w:adjustRightInd w:val="0"/>
              <w:jc w:val="center"/>
            </w:pPr>
            <w:r>
              <w:t>0.922</w:t>
            </w:r>
          </w:p>
        </w:tc>
        <w:tc>
          <w:tcPr>
            <w:tcW w:w="2115" w:type="dxa"/>
          </w:tcPr>
          <w:p w:rsidR="00FA6480" w:rsidRDefault="00FA6480" w:rsidP="00FA6480">
            <w:pPr>
              <w:widowControl w:val="0"/>
              <w:autoSpaceDE w:val="0"/>
              <w:autoSpaceDN w:val="0"/>
              <w:adjustRightInd w:val="0"/>
              <w:jc w:val="center"/>
            </w:pPr>
            <w:r>
              <w:t>0.922</w:t>
            </w:r>
          </w:p>
        </w:tc>
      </w:tr>
      <w:tr w:rsidR="00FA6480">
        <w:tblPrEx>
          <w:tblCellMar>
            <w:top w:w="0" w:type="dxa"/>
            <w:bottom w:w="0" w:type="dxa"/>
          </w:tblCellMar>
        </w:tblPrEx>
        <w:tc>
          <w:tcPr>
            <w:tcW w:w="2850" w:type="dxa"/>
          </w:tcPr>
          <w:p w:rsidR="00FA6480" w:rsidRDefault="00FA6480" w:rsidP="00AC0C41">
            <w:pPr>
              <w:widowControl w:val="0"/>
              <w:autoSpaceDE w:val="0"/>
              <w:autoSpaceDN w:val="0"/>
              <w:adjustRightInd w:val="0"/>
            </w:pPr>
          </w:p>
        </w:tc>
        <w:tc>
          <w:tcPr>
            <w:tcW w:w="3762" w:type="dxa"/>
          </w:tcPr>
          <w:p w:rsidR="00FA6480" w:rsidRDefault="00FA6480" w:rsidP="00FA6480">
            <w:pPr>
              <w:widowControl w:val="0"/>
              <w:autoSpaceDE w:val="0"/>
              <w:autoSpaceDN w:val="0"/>
              <w:adjustRightInd w:val="0"/>
              <w:jc w:val="center"/>
            </w:pPr>
          </w:p>
        </w:tc>
        <w:tc>
          <w:tcPr>
            <w:tcW w:w="2115" w:type="dxa"/>
          </w:tcPr>
          <w:p w:rsidR="00FA6480" w:rsidRDefault="00FA6480" w:rsidP="00FA6480">
            <w:pPr>
              <w:widowControl w:val="0"/>
              <w:autoSpaceDE w:val="0"/>
              <w:autoSpaceDN w:val="0"/>
              <w:adjustRightInd w:val="0"/>
              <w:jc w:val="center"/>
            </w:pPr>
          </w:p>
        </w:tc>
      </w:tr>
      <w:tr w:rsidR="00FA6480">
        <w:tblPrEx>
          <w:tblCellMar>
            <w:top w:w="0" w:type="dxa"/>
            <w:bottom w:w="0" w:type="dxa"/>
          </w:tblCellMar>
        </w:tblPrEx>
        <w:tc>
          <w:tcPr>
            <w:tcW w:w="2850" w:type="dxa"/>
          </w:tcPr>
          <w:p w:rsidR="00FA6480" w:rsidRDefault="00FA6480" w:rsidP="00AC0C41">
            <w:pPr>
              <w:widowControl w:val="0"/>
              <w:autoSpaceDE w:val="0"/>
              <w:autoSpaceDN w:val="0"/>
              <w:adjustRightInd w:val="0"/>
            </w:pPr>
            <w:r>
              <w:t>Zinc</w:t>
            </w:r>
          </w:p>
        </w:tc>
        <w:tc>
          <w:tcPr>
            <w:tcW w:w="3762" w:type="dxa"/>
          </w:tcPr>
          <w:p w:rsidR="00FA6480" w:rsidRDefault="00FA6480" w:rsidP="00FA6480">
            <w:pPr>
              <w:widowControl w:val="0"/>
              <w:autoSpaceDE w:val="0"/>
              <w:autoSpaceDN w:val="0"/>
              <w:adjustRightInd w:val="0"/>
              <w:jc w:val="center"/>
            </w:pPr>
            <w:r>
              <w:t>0.978</w:t>
            </w:r>
          </w:p>
        </w:tc>
        <w:tc>
          <w:tcPr>
            <w:tcW w:w="2115" w:type="dxa"/>
          </w:tcPr>
          <w:p w:rsidR="00FA6480" w:rsidRDefault="00FA6480" w:rsidP="00FA6480">
            <w:pPr>
              <w:widowControl w:val="0"/>
              <w:autoSpaceDE w:val="0"/>
              <w:autoSpaceDN w:val="0"/>
              <w:adjustRightInd w:val="0"/>
              <w:jc w:val="center"/>
            </w:pPr>
            <w:r>
              <w:t>0.986</w:t>
            </w:r>
          </w:p>
        </w:tc>
      </w:tr>
    </w:tbl>
    <w:p w:rsidR="00FA6480" w:rsidRDefault="00FA6480" w:rsidP="0036145B">
      <w:pPr>
        <w:widowControl w:val="0"/>
        <w:autoSpaceDE w:val="0"/>
        <w:autoSpaceDN w:val="0"/>
        <w:adjustRightInd w:val="0"/>
        <w:ind w:left="1440" w:hanging="720"/>
      </w:pPr>
    </w:p>
    <w:p w:rsidR="0036145B" w:rsidRDefault="0036145B" w:rsidP="0036145B">
      <w:pPr>
        <w:widowControl w:val="0"/>
        <w:autoSpaceDE w:val="0"/>
        <w:autoSpaceDN w:val="0"/>
        <w:adjustRightInd w:val="0"/>
        <w:ind w:left="1440" w:hanging="720"/>
      </w:pPr>
      <w:r>
        <w:t>b)</w:t>
      </w:r>
      <w:r>
        <w:tab/>
        <w:t xml:space="preserve">A permittee may propose an alternate conversion factor for any particular site specific application.  The request must contain sufficient site specific data, or other data that is representative of the site, to identify a representative ratio of the dissolved fraction to the total recoverable fraction of the metal in the receiving water body at the edge of the mixing zone.  If a site specific conversion factor is approved, that factor will be used for PEQ derivation and establishment of a WQBEL in lieu of its default counterpart in subsection (a) above. </w:t>
      </w:r>
    </w:p>
    <w:sectPr w:rsidR="0036145B" w:rsidSect="003614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145B"/>
    <w:rsid w:val="0036145B"/>
    <w:rsid w:val="00466881"/>
    <w:rsid w:val="004D29E0"/>
    <w:rsid w:val="005C3366"/>
    <w:rsid w:val="008D10AC"/>
    <w:rsid w:val="00AC0C41"/>
    <w:rsid w:val="00C206EB"/>
    <w:rsid w:val="00FA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352</vt:lpstr>
    </vt:vector>
  </TitlesOfParts>
  <Company>State of Illinois</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cp:lastPrinted>2003-03-05T16:50:00Z</cp:lastPrinted>
  <dcterms:created xsi:type="dcterms:W3CDTF">2012-06-21T20:31:00Z</dcterms:created>
  <dcterms:modified xsi:type="dcterms:W3CDTF">2012-06-21T20:31:00Z</dcterms:modified>
</cp:coreProperties>
</file>