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23" w:rsidRDefault="00746D23" w:rsidP="00746D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D23" w:rsidRDefault="00746D23" w:rsidP="00746D23">
      <w:pPr>
        <w:widowControl w:val="0"/>
        <w:autoSpaceDE w:val="0"/>
        <w:autoSpaceDN w:val="0"/>
        <w:adjustRightInd w:val="0"/>
        <w:jc w:val="center"/>
      </w:pPr>
      <w:r>
        <w:t>PART 351</w:t>
      </w:r>
    </w:p>
    <w:p w:rsidR="00746D23" w:rsidRDefault="00746D23" w:rsidP="00746D23">
      <w:pPr>
        <w:widowControl w:val="0"/>
        <w:autoSpaceDE w:val="0"/>
        <w:autoSpaceDN w:val="0"/>
        <w:adjustRightInd w:val="0"/>
        <w:jc w:val="center"/>
      </w:pPr>
      <w:r>
        <w:t>PROCEDURES AND REQUIREMENTS FOR CONFLICT RESOLUTION</w:t>
      </w:r>
    </w:p>
    <w:p w:rsidR="00746D23" w:rsidRDefault="00746D23" w:rsidP="00746D23">
      <w:pPr>
        <w:widowControl w:val="0"/>
        <w:autoSpaceDE w:val="0"/>
        <w:autoSpaceDN w:val="0"/>
        <w:adjustRightInd w:val="0"/>
        <w:jc w:val="center"/>
      </w:pPr>
      <w:r>
        <w:t>IN REVISING WATER QUALITY MANAGEMENT PLANS</w:t>
      </w:r>
    </w:p>
    <w:p w:rsidR="00746D23" w:rsidRDefault="00746D23" w:rsidP="00746D23">
      <w:pPr>
        <w:widowControl w:val="0"/>
        <w:autoSpaceDE w:val="0"/>
        <w:autoSpaceDN w:val="0"/>
        <w:adjustRightInd w:val="0"/>
      </w:pPr>
    </w:p>
    <w:sectPr w:rsidR="00746D23" w:rsidSect="00746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D23"/>
    <w:rsid w:val="000F1AF3"/>
    <w:rsid w:val="005C3366"/>
    <w:rsid w:val="00746D23"/>
    <w:rsid w:val="00C13C67"/>
    <w:rsid w:val="00E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