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A99" w:rsidRDefault="00016A99" w:rsidP="00016A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6A99" w:rsidRDefault="00016A99" w:rsidP="00016A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310.905  Reviewability of Claims of Upset</w:t>
      </w:r>
      <w:r>
        <w:t xml:space="preserve"> </w:t>
      </w:r>
    </w:p>
    <w:p w:rsidR="00016A99" w:rsidRDefault="00016A99" w:rsidP="00016A99">
      <w:pPr>
        <w:widowControl w:val="0"/>
        <w:autoSpaceDE w:val="0"/>
        <w:autoSpaceDN w:val="0"/>
        <w:adjustRightInd w:val="0"/>
      </w:pPr>
    </w:p>
    <w:p w:rsidR="00016A99" w:rsidRDefault="00016A99" w:rsidP="00016A99">
      <w:pPr>
        <w:widowControl w:val="0"/>
        <w:autoSpaceDE w:val="0"/>
        <w:autoSpaceDN w:val="0"/>
        <w:adjustRightInd w:val="0"/>
      </w:pPr>
      <w:r>
        <w:t xml:space="preserve">In the usual exercise of prosecutorial discretion, Agency enforcement personnel should review any claims that non-compliance was caused by an upset.  No determinations made in the course of the review constitute final Agency action subject to judicial review.  Industrial users will have the opportunity for a judicial determination on any claim of upset only in an enforcement action brought for noncompliance with categorical pretreatment standards. </w:t>
      </w:r>
    </w:p>
    <w:p w:rsidR="00315836" w:rsidRDefault="00315836" w:rsidP="00016A99">
      <w:pPr>
        <w:widowControl w:val="0"/>
        <w:autoSpaceDE w:val="0"/>
        <w:autoSpaceDN w:val="0"/>
        <w:adjustRightInd w:val="0"/>
      </w:pPr>
    </w:p>
    <w:p w:rsidR="00016A99" w:rsidRDefault="00750379" w:rsidP="00016A99">
      <w:pPr>
        <w:widowControl w:val="0"/>
        <w:autoSpaceDE w:val="0"/>
        <w:autoSpaceDN w:val="0"/>
        <w:adjustRightInd w:val="0"/>
      </w:pPr>
      <w:r>
        <w:t>BOARD NOTE:</w:t>
      </w:r>
      <w:r w:rsidR="00016A99">
        <w:t xml:space="preserve">  Deriv</w:t>
      </w:r>
      <w:r w:rsidR="002116E9">
        <w:t xml:space="preserve">ed from 40 CFR 403.16(e) </w:t>
      </w:r>
      <w:r>
        <w:t>(2003).</w:t>
      </w:r>
      <w:r w:rsidR="00016A99">
        <w:t xml:space="preserve"> </w:t>
      </w:r>
    </w:p>
    <w:p w:rsidR="00750379" w:rsidRDefault="00750379" w:rsidP="00016A99">
      <w:pPr>
        <w:widowControl w:val="0"/>
        <w:autoSpaceDE w:val="0"/>
        <w:autoSpaceDN w:val="0"/>
        <w:adjustRightInd w:val="0"/>
      </w:pPr>
    </w:p>
    <w:p w:rsidR="00750379" w:rsidRDefault="00750379">
      <w:pPr>
        <w:pStyle w:val="JCARSourceNote"/>
        <w:ind w:firstLine="720"/>
      </w:pPr>
      <w:r>
        <w:t xml:space="preserve">(Source:  Amended at 28 Ill. Reg. </w:t>
      </w:r>
      <w:r w:rsidR="00563A3D">
        <w:t>3390</w:t>
      </w:r>
      <w:r>
        <w:t xml:space="preserve">, effective </w:t>
      </w:r>
      <w:r w:rsidR="00ED49A8">
        <w:t>February 6, 2004</w:t>
      </w:r>
      <w:r>
        <w:t>)</w:t>
      </w:r>
    </w:p>
    <w:sectPr w:rsidR="00750379" w:rsidSect="00016A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6A99"/>
    <w:rsid w:val="00016A99"/>
    <w:rsid w:val="002116E9"/>
    <w:rsid w:val="00315836"/>
    <w:rsid w:val="00470111"/>
    <w:rsid w:val="00563A3D"/>
    <w:rsid w:val="005C3366"/>
    <w:rsid w:val="006B5A8A"/>
    <w:rsid w:val="00750379"/>
    <w:rsid w:val="00B2517D"/>
    <w:rsid w:val="00C8633A"/>
    <w:rsid w:val="00D01340"/>
    <w:rsid w:val="00ED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503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50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