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46" w:rsidRDefault="00045F46" w:rsidP="00045F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F46" w:rsidRDefault="00045F46" w:rsidP="00045F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310.902  Effect of an Upset</w:t>
      </w:r>
      <w:r>
        <w:t xml:space="preserve"> </w:t>
      </w:r>
    </w:p>
    <w:p w:rsidR="00045F46" w:rsidRDefault="00045F46" w:rsidP="00045F46">
      <w:pPr>
        <w:widowControl w:val="0"/>
        <w:autoSpaceDE w:val="0"/>
        <w:autoSpaceDN w:val="0"/>
        <w:adjustRightInd w:val="0"/>
      </w:pPr>
    </w:p>
    <w:p w:rsidR="00045F46" w:rsidRDefault="00045F46" w:rsidP="00045F46">
      <w:pPr>
        <w:widowControl w:val="0"/>
        <w:autoSpaceDE w:val="0"/>
        <w:autoSpaceDN w:val="0"/>
        <w:adjustRightInd w:val="0"/>
      </w:pPr>
      <w:r>
        <w:t xml:space="preserve">An upset </w:t>
      </w:r>
      <w:r w:rsidR="00E43A5D">
        <w:t>m</w:t>
      </w:r>
      <w:r w:rsidR="008B5EFE">
        <w:t>ay</w:t>
      </w:r>
      <w:r w:rsidR="00E43A5D">
        <w:t xml:space="preserve"> </w:t>
      </w:r>
      <w:r>
        <w:t xml:space="preserve">constitute an affirmative defense to an action brought for noncompliance with categorical pretreatment standards if the requirements of Section 310.903 are met. </w:t>
      </w:r>
    </w:p>
    <w:p w:rsidR="00DD2DD3" w:rsidRDefault="00DD2DD3" w:rsidP="00045F46">
      <w:pPr>
        <w:widowControl w:val="0"/>
        <w:autoSpaceDE w:val="0"/>
        <w:autoSpaceDN w:val="0"/>
        <w:adjustRightInd w:val="0"/>
      </w:pPr>
    </w:p>
    <w:p w:rsidR="00045F46" w:rsidRDefault="00E43A5D" w:rsidP="00045F46">
      <w:pPr>
        <w:widowControl w:val="0"/>
        <w:autoSpaceDE w:val="0"/>
        <w:autoSpaceDN w:val="0"/>
        <w:adjustRightInd w:val="0"/>
      </w:pPr>
      <w:r>
        <w:t>BOARD NOTE:</w:t>
      </w:r>
      <w:r w:rsidR="00045F46">
        <w:t xml:space="preserve">  Deriv</w:t>
      </w:r>
      <w:r w:rsidR="00C64276">
        <w:t xml:space="preserve">ed from 40 CFR 403.16(b) </w:t>
      </w:r>
      <w:r>
        <w:t>(2003).</w:t>
      </w:r>
      <w:r w:rsidR="00045F46">
        <w:t xml:space="preserve"> </w:t>
      </w:r>
    </w:p>
    <w:p w:rsidR="00E43A5D" w:rsidRDefault="00E43A5D" w:rsidP="00045F46">
      <w:pPr>
        <w:widowControl w:val="0"/>
        <w:autoSpaceDE w:val="0"/>
        <w:autoSpaceDN w:val="0"/>
        <w:adjustRightInd w:val="0"/>
      </w:pPr>
    </w:p>
    <w:p w:rsidR="00E43A5D" w:rsidRDefault="00E43A5D">
      <w:pPr>
        <w:pStyle w:val="JCARSourceNote"/>
        <w:ind w:firstLine="720"/>
      </w:pPr>
      <w:r>
        <w:t xml:space="preserve">(Source:  Amended at 28 Ill. Reg. </w:t>
      </w:r>
      <w:r w:rsidR="004C06CD">
        <w:t>3390</w:t>
      </w:r>
      <w:r>
        <w:t xml:space="preserve">, effective </w:t>
      </w:r>
      <w:r w:rsidR="00822602">
        <w:t>February 6, 2004</w:t>
      </w:r>
      <w:r>
        <w:t>)</w:t>
      </w:r>
    </w:p>
    <w:sectPr w:rsidR="00E43A5D" w:rsidSect="00045F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F46"/>
    <w:rsid w:val="00045F46"/>
    <w:rsid w:val="00251798"/>
    <w:rsid w:val="00383863"/>
    <w:rsid w:val="003C0369"/>
    <w:rsid w:val="004B671C"/>
    <w:rsid w:val="004C06CD"/>
    <w:rsid w:val="004D22AF"/>
    <w:rsid w:val="005C3366"/>
    <w:rsid w:val="00822602"/>
    <w:rsid w:val="008B5EFE"/>
    <w:rsid w:val="00C64276"/>
    <w:rsid w:val="00DD2DD3"/>
    <w:rsid w:val="00E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3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