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4B" w:rsidRDefault="00301E4B" w:rsidP="00301E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1E4B" w:rsidRDefault="00301E4B" w:rsidP="00301E4B">
      <w:pPr>
        <w:widowControl w:val="0"/>
        <w:autoSpaceDE w:val="0"/>
        <w:autoSpaceDN w:val="0"/>
        <w:adjustRightInd w:val="0"/>
        <w:jc w:val="center"/>
      </w:pPr>
      <w:r>
        <w:t>SUBPART G:  FUNDAMENTALLY DIFFERENT FACTORS</w:t>
      </w:r>
    </w:p>
    <w:sectPr w:rsidR="00301E4B" w:rsidSect="00301E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1E4B"/>
    <w:rsid w:val="00301E4B"/>
    <w:rsid w:val="00381FE0"/>
    <w:rsid w:val="004674D3"/>
    <w:rsid w:val="005C3366"/>
    <w:rsid w:val="0080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FUNDAMENTALLY DIFFERENT FACTORS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FUNDAMENTALLY DIFFERENT FACTORS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