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55" w:rsidRDefault="000A3955" w:rsidP="000A3955">
      <w:pPr>
        <w:widowControl w:val="0"/>
        <w:ind w:left="2160" w:hanging="2160"/>
      </w:pPr>
      <w:bookmarkStart w:id="0" w:name="_GoBack"/>
      <w:bookmarkEnd w:id="0"/>
    </w:p>
    <w:p w:rsidR="000A3955" w:rsidRPr="000A3955" w:rsidRDefault="000A3955" w:rsidP="000A3955">
      <w:pPr>
        <w:widowControl w:val="0"/>
        <w:ind w:left="2160" w:hanging="2160"/>
        <w:rPr>
          <w:b/>
        </w:rPr>
      </w:pPr>
      <w:r w:rsidRPr="000A3955">
        <w:rPr>
          <w:b/>
        </w:rPr>
        <w:t>Section 310.637  Receiving Electronic Documents</w:t>
      </w:r>
    </w:p>
    <w:p w:rsidR="000A3955" w:rsidRPr="00D93192" w:rsidRDefault="000A3955" w:rsidP="000A3955">
      <w:pPr>
        <w:widowControl w:val="0"/>
      </w:pPr>
    </w:p>
    <w:p w:rsidR="000A3955" w:rsidRPr="00D93192" w:rsidRDefault="000A3955" w:rsidP="000A3955">
      <w:pPr>
        <w:widowControl w:val="0"/>
      </w:pPr>
      <w:r w:rsidRPr="00D93192">
        <w:t>A Control Authority that chooses to receive electronic documents must satisfy the requirements of Section 310.106.</w:t>
      </w:r>
    </w:p>
    <w:p w:rsidR="000A3955" w:rsidRPr="00D93192" w:rsidRDefault="000A3955" w:rsidP="000A3955">
      <w:pPr>
        <w:widowControl w:val="0"/>
      </w:pPr>
    </w:p>
    <w:p w:rsidR="000A3955" w:rsidRPr="00D93192" w:rsidRDefault="000A3955" w:rsidP="000A3955">
      <w:pPr>
        <w:widowControl w:val="0"/>
      </w:pPr>
      <w:r w:rsidRPr="00D93192">
        <w:t>BOARD NOTE:  Derived from 40 CFR 403.12(r), as added at 70 Fed. Reg. 59848 (Oct. 13, 2005).</w:t>
      </w:r>
    </w:p>
    <w:p w:rsidR="000A3955" w:rsidRPr="00D93192" w:rsidRDefault="000A3955" w:rsidP="000A3955">
      <w:pPr>
        <w:widowControl w:val="0"/>
      </w:pPr>
    </w:p>
    <w:p w:rsidR="000A3955" w:rsidRPr="00D55B37" w:rsidRDefault="000A3955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474BF7">
        <w:t>17847</w:t>
      </w:r>
      <w:r w:rsidRPr="00D55B37">
        <w:t xml:space="preserve">, effective </w:t>
      </w:r>
      <w:r w:rsidR="00AF7821">
        <w:t>October 26, 2006</w:t>
      </w:r>
      <w:r w:rsidRPr="00D55B37">
        <w:t>)</w:t>
      </w:r>
    </w:p>
    <w:sectPr w:rsidR="000A395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E3" w:rsidRDefault="00C068E3">
      <w:r>
        <w:separator/>
      </w:r>
    </w:p>
  </w:endnote>
  <w:endnote w:type="continuationSeparator" w:id="0">
    <w:p w:rsidR="00C068E3" w:rsidRDefault="00C0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E3" w:rsidRDefault="00C068E3">
      <w:r>
        <w:separator/>
      </w:r>
    </w:p>
  </w:footnote>
  <w:footnote w:type="continuationSeparator" w:id="0">
    <w:p w:rsidR="00C068E3" w:rsidRDefault="00C0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50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3955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50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49B1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4BF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3EB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AF7821"/>
    <w:rsid w:val="00B01411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63C8"/>
    <w:rsid w:val="00BF78FB"/>
    <w:rsid w:val="00C068E3"/>
    <w:rsid w:val="00C1038A"/>
    <w:rsid w:val="00C15FD6"/>
    <w:rsid w:val="00C17F24"/>
    <w:rsid w:val="00C2596B"/>
    <w:rsid w:val="00C319B3"/>
    <w:rsid w:val="00C42A93"/>
    <w:rsid w:val="00C4537A"/>
    <w:rsid w:val="00C50195"/>
    <w:rsid w:val="00C56812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49B4"/>
    <w:rsid w:val="00EC3846"/>
    <w:rsid w:val="00EC6C31"/>
    <w:rsid w:val="00ED1405"/>
    <w:rsid w:val="00EE2300"/>
    <w:rsid w:val="00EF3719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A395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A395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A395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A395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