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7DBEF" w14:textId="77777777" w:rsidR="00E92B27" w:rsidRDefault="00E92B27" w:rsidP="00E92B27">
      <w:pPr>
        <w:widowControl w:val="0"/>
        <w:autoSpaceDE w:val="0"/>
        <w:autoSpaceDN w:val="0"/>
        <w:adjustRightInd w:val="0"/>
      </w:pPr>
    </w:p>
    <w:p w14:paraId="137D4102" w14:textId="77777777" w:rsidR="00E92B27" w:rsidRDefault="00E92B27" w:rsidP="00E92B27">
      <w:pPr>
        <w:widowControl w:val="0"/>
        <w:autoSpaceDE w:val="0"/>
        <w:autoSpaceDN w:val="0"/>
        <w:adjustRightInd w:val="0"/>
      </w:pPr>
      <w:r>
        <w:rPr>
          <w:b/>
          <w:bCs/>
        </w:rPr>
        <w:t xml:space="preserve">Section </w:t>
      </w:r>
      <w:proofErr w:type="gramStart"/>
      <w:r>
        <w:rPr>
          <w:b/>
          <w:bCs/>
        </w:rPr>
        <w:t xml:space="preserve">310.221  </w:t>
      </w:r>
      <w:r w:rsidR="00D966C2">
        <w:rPr>
          <w:b/>
          <w:bCs/>
        </w:rPr>
        <w:t>Source</w:t>
      </w:r>
      <w:proofErr w:type="gramEnd"/>
      <w:r w:rsidR="00D966C2">
        <w:rPr>
          <w:b/>
          <w:bCs/>
        </w:rPr>
        <w:t xml:space="preserve"> </w:t>
      </w:r>
      <w:r>
        <w:rPr>
          <w:b/>
          <w:bCs/>
        </w:rPr>
        <w:t>Category Determination Request</w:t>
      </w:r>
      <w:r>
        <w:t xml:space="preserve"> </w:t>
      </w:r>
    </w:p>
    <w:p w14:paraId="4733B3C1" w14:textId="77777777" w:rsidR="00E92B27" w:rsidRDefault="00E92B27" w:rsidP="00E92B27">
      <w:pPr>
        <w:widowControl w:val="0"/>
        <w:autoSpaceDE w:val="0"/>
        <w:autoSpaceDN w:val="0"/>
        <w:adjustRightInd w:val="0"/>
      </w:pPr>
    </w:p>
    <w:p w14:paraId="2583DEA3" w14:textId="7411DD7F" w:rsidR="00E92B27" w:rsidRDefault="00E92B27" w:rsidP="00E92B27">
      <w:pPr>
        <w:widowControl w:val="0"/>
        <w:autoSpaceDE w:val="0"/>
        <w:autoSpaceDN w:val="0"/>
        <w:adjustRightInd w:val="0"/>
        <w:ind w:left="1440" w:hanging="720"/>
      </w:pPr>
      <w:r>
        <w:t>a)</w:t>
      </w:r>
      <w:r>
        <w:tab/>
        <w:t xml:space="preserve">Application </w:t>
      </w:r>
      <w:r w:rsidR="00EB50E2">
        <w:t>Deadline</w:t>
      </w:r>
      <w:r>
        <w:t xml:space="preserve"> </w:t>
      </w:r>
    </w:p>
    <w:p w14:paraId="4F00DFCA" w14:textId="77777777" w:rsidR="002C350C" w:rsidRDefault="002C350C" w:rsidP="00EF19E4">
      <w:pPr>
        <w:widowControl w:val="0"/>
        <w:autoSpaceDE w:val="0"/>
        <w:autoSpaceDN w:val="0"/>
        <w:adjustRightInd w:val="0"/>
      </w:pPr>
    </w:p>
    <w:p w14:paraId="6F963AA5" w14:textId="6C6B5575" w:rsidR="00E92B27" w:rsidRDefault="00E92B27" w:rsidP="00E92B27">
      <w:pPr>
        <w:widowControl w:val="0"/>
        <w:autoSpaceDE w:val="0"/>
        <w:autoSpaceDN w:val="0"/>
        <w:adjustRightInd w:val="0"/>
        <w:ind w:left="2160" w:hanging="720"/>
      </w:pPr>
      <w:r>
        <w:t>1)</w:t>
      </w:r>
      <w:r>
        <w:tab/>
        <w:t xml:space="preserve">The industrial user or </w:t>
      </w:r>
      <w:proofErr w:type="spellStart"/>
      <w:r>
        <w:t>POTW</w:t>
      </w:r>
      <w:proofErr w:type="spellEnd"/>
      <w:r>
        <w:t xml:space="preserve"> may request that the Agency provide written certification as to whether the industrial user falls within that particular </w:t>
      </w:r>
      <w:r w:rsidR="00D966C2">
        <w:t xml:space="preserve">source category or </w:t>
      </w:r>
      <w:r>
        <w:t xml:space="preserve">subcategory.  If an existing industrial user adds or changes a process or operation </w:t>
      </w:r>
      <w:r w:rsidR="00D11565">
        <w:t>that</w:t>
      </w:r>
      <w:r>
        <w:t xml:space="preserve"> may be included in a </w:t>
      </w:r>
      <w:r w:rsidR="00BC2B1E">
        <w:t xml:space="preserve">source category or </w:t>
      </w:r>
      <w:r>
        <w:t xml:space="preserve">subcategory, the existing industrial user </w:t>
      </w:r>
      <w:r w:rsidR="00D11565">
        <w:t>must</w:t>
      </w:r>
      <w:r>
        <w:t xml:space="preserve"> request this certification </w:t>
      </w:r>
      <w:r w:rsidR="00EB50E2">
        <w:t>before</w:t>
      </w:r>
      <w:r>
        <w:t xml:space="preserve"> commencing discharge from the added or ch</w:t>
      </w:r>
      <w:r w:rsidR="000259A1">
        <w:t xml:space="preserve">anged processes or operation.  </w:t>
      </w:r>
      <w:r>
        <w:t>With respect to new standards</w:t>
      </w:r>
      <w:r w:rsidR="00D11565">
        <w:t>, the following apply</w:t>
      </w:r>
      <w:r>
        <w:t xml:space="preserve">: </w:t>
      </w:r>
    </w:p>
    <w:p w14:paraId="7154CC37" w14:textId="77777777" w:rsidR="002C350C" w:rsidRDefault="002C350C" w:rsidP="00EF19E4">
      <w:pPr>
        <w:widowControl w:val="0"/>
        <w:autoSpaceDE w:val="0"/>
        <w:autoSpaceDN w:val="0"/>
        <w:adjustRightInd w:val="0"/>
      </w:pPr>
    </w:p>
    <w:p w14:paraId="5D2B58FC" w14:textId="77777777" w:rsidR="00E92B27" w:rsidRDefault="00E92B27" w:rsidP="00E92B27">
      <w:pPr>
        <w:widowControl w:val="0"/>
        <w:autoSpaceDE w:val="0"/>
        <w:autoSpaceDN w:val="0"/>
        <w:adjustRightInd w:val="0"/>
        <w:ind w:left="2880" w:hanging="720"/>
      </w:pPr>
      <w:r>
        <w:t>A)</w:t>
      </w:r>
      <w:r>
        <w:tab/>
        <w:t xml:space="preserve">The </w:t>
      </w:r>
      <w:proofErr w:type="spellStart"/>
      <w:r>
        <w:t>POTW</w:t>
      </w:r>
      <w:proofErr w:type="spellEnd"/>
      <w:r>
        <w:t xml:space="preserve"> or industrial user </w:t>
      </w:r>
      <w:r w:rsidR="00D11565">
        <w:t>must</w:t>
      </w:r>
      <w:r>
        <w:t xml:space="preserve"> direct to USEPA any </w:t>
      </w:r>
      <w:r w:rsidR="00D966C2">
        <w:t xml:space="preserve">source </w:t>
      </w:r>
      <w:r>
        <w:t xml:space="preserve">category determination requests for pretreatment standards adopted by USEPA prior to authorization of the Illinois program. </w:t>
      </w:r>
    </w:p>
    <w:p w14:paraId="630190E3" w14:textId="77777777" w:rsidR="002C350C" w:rsidRDefault="002C350C" w:rsidP="00EF19E4">
      <w:pPr>
        <w:widowControl w:val="0"/>
        <w:autoSpaceDE w:val="0"/>
        <w:autoSpaceDN w:val="0"/>
        <w:adjustRightInd w:val="0"/>
      </w:pPr>
    </w:p>
    <w:p w14:paraId="4E205065" w14:textId="77777777" w:rsidR="00E92B27" w:rsidRDefault="00E92B27" w:rsidP="00E92B27">
      <w:pPr>
        <w:widowControl w:val="0"/>
        <w:autoSpaceDE w:val="0"/>
        <w:autoSpaceDN w:val="0"/>
        <w:adjustRightInd w:val="0"/>
        <w:ind w:left="2880" w:hanging="720"/>
      </w:pPr>
      <w:r>
        <w:t>B)</w:t>
      </w:r>
      <w:r>
        <w:tab/>
        <w:t xml:space="preserve">After authorization of the Illinois program, the </w:t>
      </w:r>
      <w:proofErr w:type="spellStart"/>
      <w:r>
        <w:t>POTW</w:t>
      </w:r>
      <w:proofErr w:type="spellEnd"/>
      <w:r>
        <w:t xml:space="preserve"> or industrial user </w:t>
      </w:r>
      <w:r w:rsidR="00D11565">
        <w:t>must</w:t>
      </w:r>
      <w:r>
        <w:t xml:space="preserve"> direct to the Agency any </w:t>
      </w:r>
      <w:r w:rsidR="00D966C2">
        <w:t xml:space="preserve">source </w:t>
      </w:r>
      <w:r>
        <w:t xml:space="preserve">category determination requests within 60 days after the Board adopts or incorporates by reference a pretreatment standard for a </w:t>
      </w:r>
      <w:r w:rsidR="00D966C2">
        <w:t xml:space="preserve">source category or </w:t>
      </w:r>
      <w:r>
        <w:t xml:space="preserve">subcategory under which an industrial user may be included. </w:t>
      </w:r>
    </w:p>
    <w:p w14:paraId="48B91D2A" w14:textId="77777777" w:rsidR="002C350C" w:rsidRDefault="002C350C" w:rsidP="00EF19E4">
      <w:pPr>
        <w:widowControl w:val="0"/>
        <w:autoSpaceDE w:val="0"/>
        <w:autoSpaceDN w:val="0"/>
        <w:adjustRightInd w:val="0"/>
      </w:pPr>
    </w:p>
    <w:p w14:paraId="00A0B25F" w14:textId="77777777" w:rsidR="00E92B27" w:rsidRDefault="00E92B27" w:rsidP="00E92B27">
      <w:pPr>
        <w:widowControl w:val="0"/>
        <w:autoSpaceDE w:val="0"/>
        <w:autoSpaceDN w:val="0"/>
        <w:adjustRightInd w:val="0"/>
        <w:ind w:left="2160" w:hanging="720"/>
      </w:pPr>
      <w:r>
        <w:t>2)</w:t>
      </w:r>
      <w:r>
        <w:tab/>
        <w:t xml:space="preserve">A new source </w:t>
      </w:r>
      <w:r w:rsidR="00D11565">
        <w:t>must</w:t>
      </w:r>
      <w:r>
        <w:t xml:space="preserve"> request this certification prior to commencing discharge. </w:t>
      </w:r>
    </w:p>
    <w:p w14:paraId="2FE79F62" w14:textId="77777777" w:rsidR="002C350C" w:rsidRDefault="002C350C" w:rsidP="00EF19E4">
      <w:pPr>
        <w:widowControl w:val="0"/>
        <w:autoSpaceDE w:val="0"/>
        <w:autoSpaceDN w:val="0"/>
        <w:adjustRightInd w:val="0"/>
      </w:pPr>
    </w:p>
    <w:p w14:paraId="63DA4745" w14:textId="77777777" w:rsidR="00E92B27" w:rsidRDefault="00E92B27" w:rsidP="00E92B27">
      <w:pPr>
        <w:widowControl w:val="0"/>
        <w:autoSpaceDE w:val="0"/>
        <w:autoSpaceDN w:val="0"/>
        <w:adjustRightInd w:val="0"/>
        <w:ind w:left="2160" w:hanging="720"/>
      </w:pPr>
      <w:r>
        <w:t>3)</w:t>
      </w:r>
      <w:r>
        <w:tab/>
        <w:t xml:space="preserve">If a request for certification is submitted by a </w:t>
      </w:r>
      <w:proofErr w:type="spellStart"/>
      <w:r>
        <w:t>POTW</w:t>
      </w:r>
      <w:proofErr w:type="spellEnd"/>
      <w:r>
        <w:t xml:space="preserve">, the </w:t>
      </w:r>
      <w:proofErr w:type="spellStart"/>
      <w:r>
        <w:t>POTW</w:t>
      </w:r>
      <w:proofErr w:type="spellEnd"/>
      <w:r>
        <w:t xml:space="preserve"> </w:t>
      </w:r>
      <w:r w:rsidR="00D11565">
        <w:t>must</w:t>
      </w:r>
      <w:r>
        <w:t xml:space="preserve"> notify any affected industrial user of such applications.  The industrial user may provide written comments on the </w:t>
      </w:r>
      <w:proofErr w:type="spellStart"/>
      <w:r>
        <w:t>POTW</w:t>
      </w:r>
      <w:proofErr w:type="spellEnd"/>
      <w:r>
        <w:t xml:space="preserve"> submissions to the Agency within 30 days of notification. </w:t>
      </w:r>
    </w:p>
    <w:p w14:paraId="47ED1126" w14:textId="77777777" w:rsidR="002C350C" w:rsidRDefault="002C350C" w:rsidP="00EF19E4">
      <w:pPr>
        <w:widowControl w:val="0"/>
        <w:autoSpaceDE w:val="0"/>
        <w:autoSpaceDN w:val="0"/>
        <w:adjustRightInd w:val="0"/>
      </w:pPr>
    </w:p>
    <w:p w14:paraId="6CB7B053" w14:textId="6CBA6150" w:rsidR="00E92B27" w:rsidRDefault="00E92B27" w:rsidP="00E92B27">
      <w:pPr>
        <w:widowControl w:val="0"/>
        <w:autoSpaceDE w:val="0"/>
        <w:autoSpaceDN w:val="0"/>
        <w:adjustRightInd w:val="0"/>
        <w:ind w:left="1440" w:hanging="720"/>
      </w:pPr>
      <w:r>
        <w:t>b)</w:t>
      </w:r>
      <w:r>
        <w:tab/>
        <w:t xml:space="preserve">Contents of </w:t>
      </w:r>
      <w:r w:rsidR="00EB50E2">
        <w:t>Application</w:t>
      </w:r>
      <w:r>
        <w:t xml:space="preserve">.  Each request </w:t>
      </w:r>
      <w:r w:rsidR="00D11565">
        <w:t>must</w:t>
      </w:r>
      <w:r>
        <w:t xml:space="preserve"> contain a statement</w:t>
      </w:r>
      <w:r w:rsidR="00D11565">
        <w:t xml:space="preserve"> that inc</w:t>
      </w:r>
      <w:r w:rsidR="006857E1">
        <w:t>l</w:t>
      </w:r>
      <w:r w:rsidR="00D11565">
        <w:t>udes the following information</w:t>
      </w:r>
      <w:r>
        <w:t xml:space="preserve">: </w:t>
      </w:r>
    </w:p>
    <w:p w14:paraId="5DF451F8" w14:textId="77777777" w:rsidR="002C350C" w:rsidRDefault="002C350C" w:rsidP="00EF19E4">
      <w:pPr>
        <w:widowControl w:val="0"/>
        <w:autoSpaceDE w:val="0"/>
        <w:autoSpaceDN w:val="0"/>
        <w:adjustRightInd w:val="0"/>
      </w:pPr>
    </w:p>
    <w:p w14:paraId="00F96DA4" w14:textId="77777777" w:rsidR="00E92B27" w:rsidRDefault="00E92B27" w:rsidP="00E92B27">
      <w:pPr>
        <w:widowControl w:val="0"/>
        <w:autoSpaceDE w:val="0"/>
        <w:autoSpaceDN w:val="0"/>
        <w:adjustRightInd w:val="0"/>
        <w:ind w:left="2160" w:hanging="720"/>
      </w:pPr>
      <w:r>
        <w:t>1)</w:t>
      </w:r>
      <w:r>
        <w:tab/>
        <w:t xml:space="preserve">Describing which </w:t>
      </w:r>
      <w:r w:rsidR="00D966C2">
        <w:t xml:space="preserve">source category or </w:t>
      </w:r>
      <w:r>
        <w:t xml:space="preserve">subcategories might be applicable; and </w:t>
      </w:r>
    </w:p>
    <w:p w14:paraId="7BEFD82F" w14:textId="77777777" w:rsidR="002C350C" w:rsidRDefault="002C350C" w:rsidP="00EF19E4">
      <w:pPr>
        <w:widowControl w:val="0"/>
        <w:autoSpaceDE w:val="0"/>
        <w:autoSpaceDN w:val="0"/>
        <w:adjustRightInd w:val="0"/>
      </w:pPr>
    </w:p>
    <w:p w14:paraId="3B457857" w14:textId="77777777" w:rsidR="00E92B27" w:rsidRDefault="00E92B27" w:rsidP="00E92B27">
      <w:pPr>
        <w:widowControl w:val="0"/>
        <w:autoSpaceDE w:val="0"/>
        <w:autoSpaceDN w:val="0"/>
        <w:adjustRightInd w:val="0"/>
        <w:ind w:left="2160" w:hanging="720"/>
      </w:pPr>
      <w:r>
        <w:t>2)</w:t>
      </w:r>
      <w:r>
        <w:tab/>
        <w:t xml:space="preserve">Citing evidence and reasons why a particular </w:t>
      </w:r>
      <w:r w:rsidR="00D966C2">
        <w:t xml:space="preserve">source category or </w:t>
      </w:r>
      <w:r>
        <w:t xml:space="preserve">subcategory is applicable and why others are not applicable.  Any person signing the application statement submitted pursuant to this Section </w:t>
      </w:r>
      <w:r w:rsidR="00A1437F">
        <w:t xml:space="preserve">must </w:t>
      </w:r>
      <w:r>
        <w:t xml:space="preserve">make the following certification: </w:t>
      </w:r>
    </w:p>
    <w:p w14:paraId="73266AF5" w14:textId="77777777" w:rsidR="002C350C" w:rsidRDefault="002C350C" w:rsidP="00EF19E4">
      <w:pPr>
        <w:widowControl w:val="0"/>
        <w:autoSpaceDE w:val="0"/>
        <w:autoSpaceDN w:val="0"/>
        <w:adjustRightInd w:val="0"/>
      </w:pPr>
    </w:p>
    <w:p w14:paraId="23E2328A" w14:textId="3613DCE9" w:rsidR="00E92B27" w:rsidRDefault="00E92B27" w:rsidP="00EF19E4">
      <w:pPr>
        <w:widowControl w:val="0"/>
        <w:autoSpaceDE w:val="0"/>
        <w:autoSpaceDN w:val="0"/>
        <w:adjustRightInd w:val="0"/>
        <w:ind w:left="2880"/>
      </w:pPr>
      <w:r>
        <w:t xml:space="preserve">I certify under penalty of law that this document and all attachments were prepared under my direction or supervision in accordance with a system designed to assure that qualified personnel properly gather and evaluate the information submitted.  </w:t>
      </w:r>
      <w:r>
        <w:lastRenderedPageBreak/>
        <w:t>Based on my inquiry of the person or persons who manage the system</w:t>
      </w:r>
      <w:r w:rsidR="002600E6">
        <w:t>,</w:t>
      </w:r>
      <w:r>
        <w:t xml:space="preserve"> or those persons directly responsible for gathering the information, the information submitted is, to the best of my knowledge and belief, true, accurate</w:t>
      </w:r>
      <w:r w:rsidR="00BC2B1E">
        <w:t>,</w:t>
      </w:r>
      <w:r>
        <w:t xml:space="preserve"> and complete.  I am aware that there are significant penalties for submitting false information, including the possibility of fine and imprisonment for knowing violations. </w:t>
      </w:r>
    </w:p>
    <w:p w14:paraId="37B9A396" w14:textId="77777777" w:rsidR="002C350C" w:rsidRDefault="002C350C" w:rsidP="00EF19E4">
      <w:pPr>
        <w:widowControl w:val="0"/>
        <w:autoSpaceDE w:val="0"/>
        <w:autoSpaceDN w:val="0"/>
        <w:adjustRightInd w:val="0"/>
      </w:pPr>
    </w:p>
    <w:p w14:paraId="67C587F5" w14:textId="453424FC" w:rsidR="00E92B27" w:rsidRDefault="00E92B27" w:rsidP="00E92B27">
      <w:pPr>
        <w:widowControl w:val="0"/>
        <w:autoSpaceDE w:val="0"/>
        <w:autoSpaceDN w:val="0"/>
        <w:adjustRightInd w:val="0"/>
        <w:ind w:left="1440" w:hanging="720"/>
      </w:pPr>
      <w:r>
        <w:t>c)</w:t>
      </w:r>
      <w:r>
        <w:tab/>
        <w:t>Deficient</w:t>
      </w:r>
      <w:r w:rsidR="00EB50E2">
        <w:t xml:space="preserve"> Requests</w:t>
      </w:r>
      <w:r>
        <w:t xml:space="preserve">.  The Agency </w:t>
      </w:r>
      <w:r w:rsidR="00D11565">
        <w:t>must</w:t>
      </w:r>
      <w:r>
        <w:t xml:space="preserve"> act only on written requests for determinations </w:t>
      </w:r>
      <w:r w:rsidR="00A1437F">
        <w:t xml:space="preserve">that </w:t>
      </w:r>
      <w:r>
        <w:t xml:space="preserve">contain all of the information required.  The Agency </w:t>
      </w:r>
      <w:r w:rsidR="00D11565">
        <w:t>must</w:t>
      </w:r>
      <w:r>
        <w:t xml:space="preserve"> notify persons who have made incomplete submissions that their requests are deficient and that, unless the time period is extended, they have 30 days to correct the deficiency.  If the deficiency is not corrected within 30 days, or within an extended period allowed by the Agency, the Agency </w:t>
      </w:r>
      <w:r w:rsidR="00D11565">
        <w:t>must</w:t>
      </w:r>
      <w:r>
        <w:t xml:space="preserve"> deny the request for a determination. </w:t>
      </w:r>
    </w:p>
    <w:p w14:paraId="1FFDB35F" w14:textId="77777777" w:rsidR="002C350C" w:rsidRDefault="002C350C" w:rsidP="00EF19E4">
      <w:pPr>
        <w:widowControl w:val="0"/>
        <w:autoSpaceDE w:val="0"/>
        <w:autoSpaceDN w:val="0"/>
        <w:adjustRightInd w:val="0"/>
      </w:pPr>
    </w:p>
    <w:p w14:paraId="62D71688" w14:textId="317BE730" w:rsidR="00E92B27" w:rsidRDefault="00E92B27" w:rsidP="00E92B27">
      <w:pPr>
        <w:widowControl w:val="0"/>
        <w:autoSpaceDE w:val="0"/>
        <w:autoSpaceDN w:val="0"/>
        <w:adjustRightInd w:val="0"/>
        <w:ind w:left="1440" w:hanging="720"/>
      </w:pPr>
      <w:r>
        <w:t>d)</w:t>
      </w:r>
      <w:r>
        <w:tab/>
        <w:t xml:space="preserve">Final </w:t>
      </w:r>
      <w:r w:rsidR="00EB50E2">
        <w:t>Determination</w:t>
      </w:r>
      <w:r>
        <w:t xml:space="preserve"> </w:t>
      </w:r>
    </w:p>
    <w:p w14:paraId="70884322" w14:textId="77777777" w:rsidR="002C350C" w:rsidRDefault="002C350C" w:rsidP="00EF19E4">
      <w:pPr>
        <w:widowControl w:val="0"/>
        <w:autoSpaceDE w:val="0"/>
        <w:autoSpaceDN w:val="0"/>
        <w:adjustRightInd w:val="0"/>
      </w:pPr>
    </w:p>
    <w:p w14:paraId="3684667D" w14:textId="16CC5F5E" w:rsidR="00E92B27" w:rsidRDefault="00E92B27" w:rsidP="00E92B27">
      <w:pPr>
        <w:widowControl w:val="0"/>
        <w:autoSpaceDE w:val="0"/>
        <w:autoSpaceDN w:val="0"/>
        <w:adjustRightInd w:val="0"/>
        <w:ind w:left="2160" w:hanging="720"/>
      </w:pPr>
      <w:r>
        <w:t>1)</w:t>
      </w:r>
      <w:r>
        <w:tab/>
        <w:t xml:space="preserve">When the Agency receives a submission, the Agency </w:t>
      </w:r>
      <w:r w:rsidR="00EB50E2">
        <w:t>must</w:t>
      </w:r>
      <w:r>
        <w:t>, if it determines that the submission contains all of the information required by subsection (b), consider the submission, any additional evidence that may have been requested</w:t>
      </w:r>
      <w:r w:rsidR="00EB50E2">
        <w:t>,</w:t>
      </w:r>
      <w:r>
        <w:t xml:space="preserve"> and any other available information relevant to the request.  The Agency </w:t>
      </w:r>
      <w:r w:rsidR="00D11565">
        <w:t>must</w:t>
      </w:r>
      <w:r>
        <w:t xml:space="preserve"> then make a written determination of the applicable </w:t>
      </w:r>
      <w:r w:rsidR="00D966C2">
        <w:t xml:space="preserve">source category or </w:t>
      </w:r>
      <w:r>
        <w:t xml:space="preserve">subcategory and state the reasons for the determination. </w:t>
      </w:r>
    </w:p>
    <w:p w14:paraId="105C9C0F" w14:textId="77777777" w:rsidR="002C350C" w:rsidRDefault="002C350C" w:rsidP="00EF19E4">
      <w:pPr>
        <w:widowControl w:val="0"/>
        <w:autoSpaceDE w:val="0"/>
        <w:autoSpaceDN w:val="0"/>
        <w:adjustRightInd w:val="0"/>
      </w:pPr>
    </w:p>
    <w:p w14:paraId="4BDBAC56" w14:textId="397347D4" w:rsidR="00E92B27" w:rsidRDefault="00E92B27" w:rsidP="00E92B27">
      <w:pPr>
        <w:widowControl w:val="0"/>
        <w:autoSpaceDE w:val="0"/>
        <w:autoSpaceDN w:val="0"/>
        <w:adjustRightInd w:val="0"/>
        <w:ind w:left="2160" w:hanging="720"/>
      </w:pPr>
      <w:r>
        <w:t>2)</w:t>
      </w:r>
      <w:r>
        <w:tab/>
        <w:t xml:space="preserve">The Agency </w:t>
      </w:r>
      <w:r w:rsidR="00D11565">
        <w:t>must</w:t>
      </w:r>
      <w:r>
        <w:t xml:space="preserve"> forward the determination described in subsection (d)(1) to USEPA.  If USEPA does not modify the Agency's decision within 60 days after its receipt, the Agency's decision is final. </w:t>
      </w:r>
    </w:p>
    <w:p w14:paraId="456F449F" w14:textId="77777777" w:rsidR="002C350C" w:rsidRDefault="002C350C" w:rsidP="00EF19E4">
      <w:pPr>
        <w:widowControl w:val="0"/>
        <w:autoSpaceDE w:val="0"/>
        <w:autoSpaceDN w:val="0"/>
        <w:adjustRightInd w:val="0"/>
      </w:pPr>
    </w:p>
    <w:p w14:paraId="58A85862" w14:textId="77777777" w:rsidR="00E92B27" w:rsidRDefault="00E92B27" w:rsidP="00E92B27">
      <w:pPr>
        <w:widowControl w:val="0"/>
        <w:autoSpaceDE w:val="0"/>
        <w:autoSpaceDN w:val="0"/>
        <w:adjustRightInd w:val="0"/>
        <w:ind w:left="2160" w:hanging="720"/>
      </w:pPr>
      <w:r>
        <w:t>3)</w:t>
      </w:r>
      <w:r>
        <w:tab/>
        <w:t xml:space="preserve">If USEPA modifies the Agency's decision, USEPA's decision will be final. </w:t>
      </w:r>
    </w:p>
    <w:p w14:paraId="4D539286" w14:textId="77777777" w:rsidR="002C350C" w:rsidRDefault="002C350C" w:rsidP="00EF19E4">
      <w:pPr>
        <w:widowControl w:val="0"/>
        <w:autoSpaceDE w:val="0"/>
        <w:autoSpaceDN w:val="0"/>
        <w:adjustRightInd w:val="0"/>
      </w:pPr>
    </w:p>
    <w:p w14:paraId="1A29003D" w14:textId="77777777" w:rsidR="00E92B27" w:rsidRDefault="00E92B27" w:rsidP="00E92B27">
      <w:pPr>
        <w:widowControl w:val="0"/>
        <w:autoSpaceDE w:val="0"/>
        <w:autoSpaceDN w:val="0"/>
        <w:adjustRightInd w:val="0"/>
        <w:ind w:left="2160" w:hanging="720"/>
      </w:pPr>
      <w:r>
        <w:t>4)</w:t>
      </w:r>
      <w:r>
        <w:tab/>
        <w:t xml:space="preserve">The Agency </w:t>
      </w:r>
      <w:r w:rsidR="00D11565">
        <w:t>must</w:t>
      </w:r>
      <w:r>
        <w:t xml:space="preserve"> send a copy of the determination to the affected industrial user and the </w:t>
      </w:r>
      <w:proofErr w:type="spellStart"/>
      <w:r>
        <w:t>POTW</w:t>
      </w:r>
      <w:proofErr w:type="spellEnd"/>
      <w:r>
        <w:t xml:space="preserve">.  If the final determination is made by USEPA, the Agency </w:t>
      </w:r>
      <w:r w:rsidR="00D11565">
        <w:t>must</w:t>
      </w:r>
      <w:r>
        <w:t xml:space="preserve"> send a copy of the determination to the user. </w:t>
      </w:r>
    </w:p>
    <w:p w14:paraId="31FAEAAB" w14:textId="77777777" w:rsidR="002C350C" w:rsidRDefault="002C350C" w:rsidP="00EF19E4">
      <w:pPr>
        <w:widowControl w:val="0"/>
        <w:autoSpaceDE w:val="0"/>
        <w:autoSpaceDN w:val="0"/>
        <w:adjustRightInd w:val="0"/>
      </w:pPr>
    </w:p>
    <w:p w14:paraId="0209790B" w14:textId="4AB35D7F" w:rsidR="00E92B27" w:rsidRDefault="00E92B27" w:rsidP="00E92B27">
      <w:pPr>
        <w:widowControl w:val="0"/>
        <w:autoSpaceDE w:val="0"/>
        <w:autoSpaceDN w:val="0"/>
        <w:adjustRightInd w:val="0"/>
        <w:ind w:left="1440" w:hanging="720"/>
      </w:pPr>
      <w:r>
        <w:t>e)</w:t>
      </w:r>
      <w:r>
        <w:tab/>
        <w:t xml:space="preserve">Requests for </w:t>
      </w:r>
      <w:r w:rsidR="00EB50E2">
        <w:t>Hearing or Legal Decision</w:t>
      </w:r>
      <w:r>
        <w:t xml:space="preserve"> </w:t>
      </w:r>
    </w:p>
    <w:p w14:paraId="40754315" w14:textId="77777777" w:rsidR="002C350C" w:rsidRDefault="002C350C" w:rsidP="00EF19E4">
      <w:pPr>
        <w:widowControl w:val="0"/>
        <w:autoSpaceDE w:val="0"/>
        <w:autoSpaceDN w:val="0"/>
        <w:adjustRightInd w:val="0"/>
      </w:pPr>
    </w:p>
    <w:p w14:paraId="6D9B5D49" w14:textId="5E16ADBF" w:rsidR="00E92B27" w:rsidRDefault="00E92B27" w:rsidP="00E92B27">
      <w:pPr>
        <w:widowControl w:val="0"/>
        <w:autoSpaceDE w:val="0"/>
        <w:autoSpaceDN w:val="0"/>
        <w:adjustRightInd w:val="0"/>
        <w:ind w:left="2160" w:hanging="720"/>
      </w:pPr>
      <w:r>
        <w:t>1)</w:t>
      </w:r>
      <w:r>
        <w:tab/>
        <w:t xml:space="preserve">Within 30 days following the date of receipt of notice of the final determination as provided for by subsection (d)(4), the requester may submit a petition to reconsider or contest the decision to USEPA, which will act pursuant to 40 CFR 403.6(a)(5). </w:t>
      </w:r>
    </w:p>
    <w:p w14:paraId="7C56B67F" w14:textId="77777777" w:rsidR="002C350C" w:rsidRDefault="002C350C" w:rsidP="00EF19E4">
      <w:pPr>
        <w:widowControl w:val="0"/>
        <w:autoSpaceDE w:val="0"/>
        <w:autoSpaceDN w:val="0"/>
        <w:adjustRightInd w:val="0"/>
      </w:pPr>
    </w:p>
    <w:p w14:paraId="25A42571" w14:textId="271465B5" w:rsidR="00E92B27" w:rsidRDefault="00E92B27" w:rsidP="00E92B27">
      <w:pPr>
        <w:widowControl w:val="0"/>
        <w:autoSpaceDE w:val="0"/>
        <w:autoSpaceDN w:val="0"/>
        <w:adjustRightInd w:val="0"/>
        <w:ind w:left="2160" w:hanging="720"/>
      </w:pPr>
      <w:r>
        <w:t>2)</w:t>
      </w:r>
      <w:r>
        <w:tab/>
        <w:t xml:space="preserve">Within 35 days following the date of receipt of notice of the final determination as provided for by </w:t>
      </w:r>
      <w:r w:rsidR="00D11565">
        <w:t>subsection</w:t>
      </w:r>
      <w:r>
        <w:t xml:space="preserve"> (c), (d)(2)</w:t>
      </w:r>
      <w:r w:rsidR="00A1437F">
        <w:t>,</w:t>
      </w:r>
      <w:r>
        <w:t xml:space="preserve"> or (d)(4), the requester may appeal a final decision made by the Agency to the Board. </w:t>
      </w:r>
    </w:p>
    <w:p w14:paraId="253D2AE8" w14:textId="77777777" w:rsidR="002C350C" w:rsidRDefault="002C350C" w:rsidP="00EF19E4">
      <w:pPr>
        <w:widowControl w:val="0"/>
        <w:autoSpaceDE w:val="0"/>
        <w:autoSpaceDN w:val="0"/>
        <w:adjustRightInd w:val="0"/>
      </w:pPr>
    </w:p>
    <w:p w14:paraId="36A3CB5E" w14:textId="77777777" w:rsidR="00E92B27" w:rsidRDefault="00E92B27" w:rsidP="00BD6174">
      <w:pPr>
        <w:widowControl w:val="0"/>
        <w:autoSpaceDE w:val="0"/>
        <w:autoSpaceDN w:val="0"/>
        <w:adjustRightInd w:val="0"/>
        <w:ind w:firstLine="720"/>
      </w:pPr>
      <w:r>
        <w:t xml:space="preserve">BOARD NOTE:  Derived from 40 CFR 403.6(a) </w:t>
      </w:r>
      <w:r w:rsidR="00D966C2">
        <w:t>(2005)</w:t>
      </w:r>
      <w:r>
        <w:t xml:space="preserve">. </w:t>
      </w:r>
    </w:p>
    <w:p w14:paraId="44BD9AC2" w14:textId="77777777" w:rsidR="00E92B27" w:rsidRDefault="00E92B27" w:rsidP="00EF19E4">
      <w:pPr>
        <w:widowControl w:val="0"/>
        <w:autoSpaceDE w:val="0"/>
        <w:autoSpaceDN w:val="0"/>
        <w:adjustRightInd w:val="0"/>
      </w:pPr>
    </w:p>
    <w:p w14:paraId="38E6D480" w14:textId="2867EB19" w:rsidR="00D966C2" w:rsidRPr="00D55B37" w:rsidRDefault="002D762B">
      <w:pPr>
        <w:pStyle w:val="JCARSourceNote"/>
        <w:ind w:left="720"/>
      </w:pPr>
      <w:r>
        <w:t>(Source:  Amended at 4</w:t>
      </w:r>
      <w:r w:rsidR="00EB50E2">
        <w:t>7</w:t>
      </w:r>
      <w:r>
        <w:t xml:space="preserve"> Ill. Reg. </w:t>
      </w:r>
      <w:r w:rsidR="00F10DE4">
        <w:t>5083</w:t>
      </w:r>
      <w:r>
        <w:t xml:space="preserve">, effective </w:t>
      </w:r>
      <w:r w:rsidR="00F10DE4">
        <w:t>March 23, 2023</w:t>
      </w:r>
      <w:r>
        <w:t>)</w:t>
      </w:r>
    </w:p>
    <w:sectPr w:rsidR="00D966C2" w:rsidRPr="00D55B37" w:rsidSect="00E92B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92B27"/>
    <w:rsid w:val="000259A1"/>
    <w:rsid w:val="000605B9"/>
    <w:rsid w:val="000F48D0"/>
    <w:rsid w:val="002600E6"/>
    <w:rsid w:val="002C350C"/>
    <w:rsid w:val="002D762B"/>
    <w:rsid w:val="00321ED2"/>
    <w:rsid w:val="005C3366"/>
    <w:rsid w:val="006857E1"/>
    <w:rsid w:val="00686520"/>
    <w:rsid w:val="006E5609"/>
    <w:rsid w:val="008C63C7"/>
    <w:rsid w:val="008F4F47"/>
    <w:rsid w:val="009D636B"/>
    <w:rsid w:val="00A1437F"/>
    <w:rsid w:val="00B2027B"/>
    <w:rsid w:val="00B4191E"/>
    <w:rsid w:val="00BC2B1E"/>
    <w:rsid w:val="00BD6174"/>
    <w:rsid w:val="00D11565"/>
    <w:rsid w:val="00D73357"/>
    <w:rsid w:val="00D966C2"/>
    <w:rsid w:val="00E92B27"/>
    <w:rsid w:val="00EB50E2"/>
    <w:rsid w:val="00EF19E4"/>
    <w:rsid w:val="00F10DE4"/>
    <w:rsid w:val="00FD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A1B7CB"/>
  <w15:docId w15:val="{1AE42A3B-40D0-4D4F-901B-963571F9E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11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4</cp:revision>
  <dcterms:created xsi:type="dcterms:W3CDTF">2023-03-30T21:29:00Z</dcterms:created>
  <dcterms:modified xsi:type="dcterms:W3CDTF">2023-04-09T20:18:00Z</dcterms:modified>
</cp:coreProperties>
</file>