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6DB7" w14:textId="77777777" w:rsidR="008B7E18" w:rsidRDefault="008B7E18" w:rsidP="008B7E18">
      <w:pPr>
        <w:widowControl w:val="0"/>
        <w:autoSpaceDE w:val="0"/>
        <w:autoSpaceDN w:val="0"/>
        <w:adjustRightInd w:val="0"/>
      </w:pPr>
    </w:p>
    <w:p w14:paraId="3BFEBE20" w14:textId="77777777" w:rsidR="008B7E18" w:rsidRDefault="008B7E18" w:rsidP="008B7E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307.4300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36D0B7C1" w14:textId="77777777" w:rsidR="008B7E18" w:rsidRDefault="008B7E18" w:rsidP="008B7E18">
      <w:pPr>
        <w:widowControl w:val="0"/>
        <w:autoSpaceDE w:val="0"/>
        <w:autoSpaceDN w:val="0"/>
        <w:adjustRightInd w:val="0"/>
      </w:pPr>
    </w:p>
    <w:p w14:paraId="002630B2" w14:textId="63492487" w:rsidR="008B7E18" w:rsidRDefault="008B7E18" w:rsidP="008B7E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Except as provided in </w:t>
      </w:r>
      <w:r w:rsidR="00641AA1">
        <w:t xml:space="preserve">subsection </w:t>
      </w:r>
      <w:r>
        <w:t xml:space="preserve">(a)(3) or (a)(4), this Subpart </w:t>
      </w:r>
      <w:proofErr w:type="spellStart"/>
      <w:r w:rsidR="00641AA1">
        <w:t>BH</w:t>
      </w:r>
      <w:proofErr w:type="spellEnd"/>
      <w:r w:rsidR="00641AA1">
        <w:t xml:space="preserve"> </w:t>
      </w:r>
      <w:r>
        <w:t xml:space="preserve">applies to discharges resulting from plants </w:t>
      </w:r>
      <w:r w:rsidR="00641AA1">
        <w:t xml:space="preserve">that </w:t>
      </w:r>
      <w:r>
        <w:t xml:space="preserve">perform on any basis material any of the six metal finishing operations listed in subsection (a)(1).  If any of those six operations are present, then this Subpart </w:t>
      </w:r>
      <w:proofErr w:type="spellStart"/>
      <w:r w:rsidR="00641AA1">
        <w:t>BH</w:t>
      </w:r>
      <w:proofErr w:type="spellEnd"/>
      <w:r w:rsidR="00641AA1">
        <w:t xml:space="preserve"> </w:t>
      </w:r>
      <w:r>
        <w:t xml:space="preserve">applies also to discharges from the forty process operations specified in subsection (a)(2). </w:t>
      </w:r>
    </w:p>
    <w:p w14:paraId="5426DE60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722DEE2D" w14:textId="080B3ED7" w:rsidR="008B7E18" w:rsidRDefault="008B7E18" w:rsidP="008B7E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Six metal finishing operations</w:t>
      </w:r>
      <w:r w:rsidR="00E31874">
        <w:t>.</w:t>
      </w:r>
      <w:r>
        <w:t xml:space="preserve">  Electroplating, </w:t>
      </w:r>
      <w:r w:rsidR="00D87826">
        <w:t>electroless plating</w:t>
      </w:r>
      <w:r>
        <w:t>, anodizing, coating (</w:t>
      </w:r>
      <w:proofErr w:type="spellStart"/>
      <w:r>
        <w:t>chromating</w:t>
      </w:r>
      <w:proofErr w:type="spellEnd"/>
      <w:r>
        <w:t>, phosphating</w:t>
      </w:r>
      <w:r w:rsidR="00641AA1">
        <w:t>,</w:t>
      </w:r>
      <w:r>
        <w:t xml:space="preserve"> and coloring), chemical etching and milling</w:t>
      </w:r>
      <w:r w:rsidR="00641AA1">
        <w:t>,</w:t>
      </w:r>
      <w:r>
        <w:t xml:space="preserve"> and printed circuit board manufacture. </w:t>
      </w:r>
    </w:p>
    <w:p w14:paraId="671732C0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0002DA14" w14:textId="04FBB24A" w:rsidR="008B7E18" w:rsidRDefault="008B7E18" w:rsidP="008B7E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Forty additional process operations</w:t>
      </w:r>
      <w:r w:rsidR="00641AA1">
        <w:t>.</w:t>
      </w:r>
      <w:r>
        <w:t xml:space="preserve">  Cleaning, machining, grinding, polishing, tumbling, burnishing, impact deformation, pressure deformation, shearing, heat treating, thermal cutting, welding, brazing, soldering, flame spraying, </w:t>
      </w:r>
      <w:r w:rsidR="00D87826">
        <w:t>sandblasting</w:t>
      </w:r>
      <w:r>
        <w:t xml:space="preserve">, other abrasive jet machining, electric discharge machining, electrochemical machining, electron beam machining, laser beam machining, plasma arc machining, ultrasonic machining, sintering, laminating, </w:t>
      </w:r>
      <w:r w:rsidR="00D87826">
        <w:t>hot-dip</w:t>
      </w:r>
      <w:r>
        <w:t xml:space="preserve"> coating, sputtering, vapor plating, thermal infusion, salt bath descaling, solvent degreasing, paint stripping, painting, electrostatic painting, electropainting, vacuum metalizing, assembly, calibration, testing</w:t>
      </w:r>
      <w:r w:rsidR="00641AA1">
        <w:t>,</w:t>
      </w:r>
      <w:r>
        <w:t xml:space="preserve"> and mechanical plating. </w:t>
      </w:r>
    </w:p>
    <w:p w14:paraId="0874DB14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06054F62" w14:textId="77777777" w:rsidR="008B7E18" w:rsidRDefault="008B7E18" w:rsidP="008B7E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Exclusions</w:t>
      </w:r>
      <w:r w:rsidR="00641AA1">
        <w:t>.</w:t>
      </w:r>
      <w:r>
        <w:t xml:space="preserve">  This Subpart </w:t>
      </w:r>
      <w:proofErr w:type="spellStart"/>
      <w:r w:rsidR="00641AA1">
        <w:t>BH</w:t>
      </w:r>
      <w:proofErr w:type="spellEnd"/>
      <w:r w:rsidR="00641AA1">
        <w:t xml:space="preserve"> </w:t>
      </w:r>
      <w:r>
        <w:t xml:space="preserve">does not apply if there are pretreatment standards </w:t>
      </w:r>
      <w:r w:rsidR="00641AA1">
        <w:t xml:space="preserve">that </w:t>
      </w:r>
      <w:r>
        <w:t xml:space="preserve">are effective and applicable for the following industrial categories: </w:t>
      </w:r>
    </w:p>
    <w:p w14:paraId="14C31DFF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1C626D48" w14:textId="46F3636D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Nonferrous metal smelting and refining (Subpart V); </w:t>
      </w:r>
    </w:p>
    <w:p w14:paraId="07071746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3614856D" w14:textId="023A1C53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Coil coating (Subpart CN); </w:t>
      </w:r>
    </w:p>
    <w:p w14:paraId="4C4F7024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1E8DE674" w14:textId="0A5D59D2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Porcelain enameling (Subpart CO); </w:t>
      </w:r>
    </w:p>
    <w:p w14:paraId="44CEADA8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47E8E4BE" w14:textId="3A4B9393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Battery manufacturing (Subpart CJ); </w:t>
      </w:r>
    </w:p>
    <w:p w14:paraId="4C9C1747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1B35D8DC" w14:textId="00694769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Iron and steel (Subpart U); </w:t>
      </w:r>
    </w:p>
    <w:p w14:paraId="7BCD3022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09BC7BBF" w14:textId="61E5499B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Metal casting foundries (Subpart CM); </w:t>
      </w:r>
    </w:p>
    <w:p w14:paraId="1EE3F760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2A95DF10" w14:textId="34459D92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Aluminum forming (Subpart CP); </w:t>
      </w:r>
    </w:p>
    <w:p w14:paraId="529B43B3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29811088" w14:textId="6DBABF3B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Copper forming (Subpart </w:t>
      </w:r>
      <w:proofErr w:type="spellStart"/>
      <w:r>
        <w:t>CQ</w:t>
      </w:r>
      <w:proofErr w:type="spellEnd"/>
      <w:r>
        <w:t xml:space="preserve">); </w:t>
      </w:r>
    </w:p>
    <w:p w14:paraId="5763F777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311963B4" w14:textId="3047286E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Plastic molding and forming (Subpart CL); </w:t>
      </w:r>
    </w:p>
    <w:p w14:paraId="3612B134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0624F64E" w14:textId="34E6D050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J)</w:t>
      </w:r>
      <w:r>
        <w:tab/>
        <w:t>Nonferrous forming (Subpart CT</w:t>
      </w:r>
      <w:r w:rsidR="00641AA1">
        <w:t>)</w:t>
      </w:r>
      <w:r>
        <w:t xml:space="preserve">; and </w:t>
      </w:r>
    </w:p>
    <w:p w14:paraId="5309BCB7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3799A308" w14:textId="06709818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Electrical and electronic components (Subpart CR. </w:t>
      </w:r>
    </w:p>
    <w:p w14:paraId="1C1028A0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32F336E0" w14:textId="77777777" w:rsidR="008B7E18" w:rsidRDefault="008B7E18" w:rsidP="008B7E1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This Subpart </w:t>
      </w:r>
      <w:proofErr w:type="spellStart"/>
      <w:r w:rsidR="00641AA1">
        <w:t>BH</w:t>
      </w:r>
      <w:proofErr w:type="spellEnd"/>
      <w:r w:rsidR="00641AA1">
        <w:t xml:space="preserve"> </w:t>
      </w:r>
      <w:r>
        <w:t>does not apply to</w:t>
      </w:r>
      <w:r w:rsidR="00641AA1">
        <w:t xml:space="preserve"> the following</w:t>
      </w:r>
      <w:r>
        <w:t xml:space="preserve">: </w:t>
      </w:r>
    </w:p>
    <w:p w14:paraId="378D046B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37EF5CEE" w14:textId="77777777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Metallic platemaking and gravure cylinder preparation conducted within or for printing and publishing facilities; and </w:t>
      </w:r>
    </w:p>
    <w:p w14:paraId="74CCEB0D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746254B2" w14:textId="44499783" w:rsidR="008B7E18" w:rsidRDefault="008B7E18" w:rsidP="008B7E1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Existing indirect discharging job shops and independent printed circuit board manufacturers </w:t>
      </w:r>
      <w:r w:rsidR="00E31874">
        <w:t>that</w:t>
      </w:r>
      <w:r>
        <w:t xml:space="preserve"> are covered by Subpart N. </w:t>
      </w:r>
    </w:p>
    <w:p w14:paraId="7B581DFB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7E8326FB" w14:textId="5646541B" w:rsidR="008B7E18" w:rsidRDefault="008B7E18" w:rsidP="008B7E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D87826">
        <w:t>Definitions</w:t>
      </w:r>
      <w:r>
        <w:t xml:space="preserve">.  The Board incorporates by reference 40 CFR 433.11 </w:t>
      </w:r>
      <w:r w:rsidR="00641AA1">
        <w:t>(2003)</w:t>
      </w:r>
      <w:r>
        <w:t xml:space="preserve">. This incorporation includes no later amendments or editions. </w:t>
      </w:r>
    </w:p>
    <w:p w14:paraId="087B74AE" w14:textId="77777777" w:rsidR="00726AF5" w:rsidRDefault="00726AF5" w:rsidP="00D86272">
      <w:pPr>
        <w:widowControl w:val="0"/>
        <w:autoSpaceDE w:val="0"/>
        <w:autoSpaceDN w:val="0"/>
        <w:adjustRightInd w:val="0"/>
      </w:pPr>
    </w:p>
    <w:p w14:paraId="0337F6AE" w14:textId="63156FA4" w:rsidR="008B7E18" w:rsidRDefault="008B7E18" w:rsidP="008B7E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</w:t>
      </w:r>
      <w:r w:rsidR="00D87826">
        <w:t>Requirements</w:t>
      </w:r>
      <w:r>
        <w:t xml:space="preserve">.  The Board incorporates by reference 40 CFR 433.12 </w:t>
      </w:r>
      <w:r w:rsidR="00641AA1">
        <w:t>(2003)</w:t>
      </w:r>
      <w:r>
        <w:t xml:space="preserve">.  This incorporation includes no later amendments or editions. </w:t>
      </w:r>
    </w:p>
    <w:p w14:paraId="14FF1EEC" w14:textId="77777777" w:rsidR="008B7E18" w:rsidRDefault="008B7E18" w:rsidP="00D86272">
      <w:pPr>
        <w:widowControl w:val="0"/>
        <w:autoSpaceDE w:val="0"/>
        <w:autoSpaceDN w:val="0"/>
        <w:adjustRightInd w:val="0"/>
      </w:pPr>
    </w:p>
    <w:p w14:paraId="1A51EF93" w14:textId="4089A637" w:rsidR="00641AA1" w:rsidRDefault="0008219C">
      <w:pPr>
        <w:pStyle w:val="JCARSourceNote"/>
        <w:ind w:firstLine="720"/>
      </w:pPr>
      <w:r>
        <w:t>(Source:  Amended at 4</w:t>
      </w:r>
      <w:r w:rsidR="00D87826">
        <w:t>7</w:t>
      </w:r>
      <w:r>
        <w:t xml:space="preserve"> Ill. Reg. </w:t>
      </w:r>
      <w:r w:rsidR="00491FB5">
        <w:t>4662</w:t>
      </w:r>
      <w:r>
        <w:t xml:space="preserve">, effective </w:t>
      </w:r>
      <w:r w:rsidR="00491FB5">
        <w:t>March 23, 2023</w:t>
      </w:r>
      <w:r>
        <w:t>)</w:t>
      </w:r>
    </w:p>
    <w:sectPr w:rsidR="00641AA1" w:rsidSect="008B7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E18"/>
    <w:rsid w:val="0008219C"/>
    <w:rsid w:val="00193E52"/>
    <w:rsid w:val="00215E3C"/>
    <w:rsid w:val="003654BC"/>
    <w:rsid w:val="003D67EE"/>
    <w:rsid w:val="00491FB5"/>
    <w:rsid w:val="005C3366"/>
    <w:rsid w:val="005E41DD"/>
    <w:rsid w:val="00641AA1"/>
    <w:rsid w:val="00726AF5"/>
    <w:rsid w:val="008B7E18"/>
    <w:rsid w:val="00B27306"/>
    <w:rsid w:val="00B44DB1"/>
    <w:rsid w:val="00D86272"/>
    <w:rsid w:val="00D87826"/>
    <w:rsid w:val="00E31874"/>
    <w:rsid w:val="00E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60CBB9"/>
  <w15:docId w15:val="{4595D2EF-DA21-49F5-82E8-4B025EAA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2023-03-29T15:17:00Z</dcterms:created>
  <dcterms:modified xsi:type="dcterms:W3CDTF">2023-04-08T22:21:00Z</dcterms:modified>
</cp:coreProperties>
</file>