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6D" w:rsidRDefault="00F71C6D" w:rsidP="00F71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C6D" w:rsidRDefault="00F71C6D" w:rsidP="00F71C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307.2500  General Provisions</w:t>
      </w:r>
      <w:r>
        <w:t xml:space="preserve"> </w:t>
      </w:r>
    </w:p>
    <w:p w:rsidR="00F71C6D" w:rsidRDefault="00F71C6D" w:rsidP="00F71C6D">
      <w:pPr>
        <w:widowControl w:val="0"/>
        <w:autoSpaceDE w:val="0"/>
        <w:autoSpaceDN w:val="0"/>
        <w:adjustRightInd w:val="0"/>
      </w:pPr>
    </w:p>
    <w:p w:rsidR="00F71C6D" w:rsidRDefault="00F71C6D" w:rsidP="00F71C6D">
      <w:pPr>
        <w:widowControl w:val="0"/>
        <w:autoSpaceDE w:val="0"/>
        <w:autoSpaceDN w:val="0"/>
        <w:adjustRightInd w:val="0"/>
      </w:pPr>
      <w:r>
        <w:t xml:space="preserve">Compliance dates.  The Board incorporates by reference 40 CFR 415.01 (1986).  This incorporation includes no later amendments or editions. </w:t>
      </w:r>
    </w:p>
    <w:p w:rsidR="00F71C6D" w:rsidRDefault="00F71C6D" w:rsidP="00F71C6D">
      <w:pPr>
        <w:widowControl w:val="0"/>
        <w:autoSpaceDE w:val="0"/>
        <w:autoSpaceDN w:val="0"/>
        <w:adjustRightInd w:val="0"/>
      </w:pPr>
    </w:p>
    <w:p w:rsidR="00F71C6D" w:rsidRDefault="00F71C6D" w:rsidP="00F71C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2592, effective January 13, 1988) </w:t>
      </w:r>
    </w:p>
    <w:sectPr w:rsidR="00F71C6D" w:rsidSect="00F71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6D"/>
    <w:rsid w:val="004C292E"/>
    <w:rsid w:val="004E043A"/>
    <w:rsid w:val="005C3366"/>
    <w:rsid w:val="00DA12B6"/>
    <w:rsid w:val="00F7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