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E4E3" w14:textId="77777777" w:rsidR="000C7E0B" w:rsidRDefault="000C7E0B" w:rsidP="000C7E0B">
      <w:pPr>
        <w:widowControl w:val="0"/>
        <w:autoSpaceDE w:val="0"/>
        <w:autoSpaceDN w:val="0"/>
        <w:adjustRightInd w:val="0"/>
      </w:pPr>
    </w:p>
    <w:p w14:paraId="2919B71A" w14:textId="77777777" w:rsidR="000C7E0B" w:rsidRDefault="000C7E0B" w:rsidP="000C7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304.210  Alton Wastewater Treatment Plant Discharges</w:t>
      </w:r>
      <w:r>
        <w:t xml:space="preserve"> </w:t>
      </w:r>
    </w:p>
    <w:p w14:paraId="5A9223BB" w14:textId="77777777" w:rsidR="000C7E0B" w:rsidRDefault="000C7E0B" w:rsidP="000C7E0B">
      <w:pPr>
        <w:widowControl w:val="0"/>
        <w:autoSpaceDE w:val="0"/>
        <w:autoSpaceDN w:val="0"/>
        <w:adjustRightInd w:val="0"/>
      </w:pPr>
    </w:p>
    <w:p w14:paraId="33719B1F" w14:textId="0DA5561F" w:rsidR="000C7E0B" w:rsidRDefault="000C7E0B" w:rsidP="000C7E0B">
      <w:pPr>
        <w:widowControl w:val="0"/>
        <w:autoSpaceDE w:val="0"/>
        <w:autoSpaceDN w:val="0"/>
        <w:adjustRightInd w:val="0"/>
      </w:pPr>
      <w:r>
        <w:t xml:space="preserve">The discharge from the City of Alton's sewage treatment works outfall 001 sewer located on Wood River Creek, approximately 1,000 feet from its confluence with the Mississippi River, </w:t>
      </w:r>
      <w:r w:rsidR="009B1BB6">
        <w:t>is</w:t>
      </w:r>
      <w:r>
        <w:t xml:space="preserve"> not subject to Section 304.120(c).  Instead, </w:t>
      </w:r>
      <w:r w:rsidR="009B1BB6">
        <w:t>the</w:t>
      </w:r>
      <w:r>
        <w:t xml:space="preserve"> discharge </w:t>
      </w:r>
      <w:r w:rsidR="009B1BB6">
        <w:t>must</w:t>
      </w:r>
      <w:r>
        <w:t xml:space="preserve"> not exceed the following limitations:  20 milligrams per liter for </w:t>
      </w:r>
      <w:r w:rsidR="005273A0">
        <w:t>five-day</w:t>
      </w:r>
      <w:r>
        <w:t xml:space="preserve"> biochemical oxygen demand (BOD</w:t>
      </w:r>
      <w:r w:rsidR="001C2FBF">
        <w:rPr>
          <w:vertAlign w:val="subscript"/>
        </w:rPr>
        <w:t>5</w:t>
      </w:r>
      <w:r>
        <w:t xml:space="preserve">) and 25 milligrams per liter for total suspended solids.  Compliance </w:t>
      </w:r>
      <w:r w:rsidR="009B1BB6">
        <w:t>must</w:t>
      </w:r>
      <w:r>
        <w:t xml:space="preserve"> be determined consistent with Section 304.120(e). </w:t>
      </w:r>
    </w:p>
    <w:p w14:paraId="2858B41A" w14:textId="77777777" w:rsidR="000C7E0B" w:rsidRDefault="000C7E0B" w:rsidP="000C7E0B">
      <w:pPr>
        <w:widowControl w:val="0"/>
        <w:autoSpaceDE w:val="0"/>
        <w:autoSpaceDN w:val="0"/>
        <w:adjustRightInd w:val="0"/>
      </w:pPr>
    </w:p>
    <w:p w14:paraId="6E0219FE" w14:textId="4E92471A" w:rsidR="000C7E0B" w:rsidRDefault="009B1BB6" w:rsidP="000C7E0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273A0">
        <w:t>7</w:t>
      </w:r>
      <w:r>
        <w:t xml:space="preserve"> Ill. Reg. </w:t>
      </w:r>
      <w:r w:rsidR="00460040">
        <w:t>4601</w:t>
      </w:r>
      <w:r>
        <w:t xml:space="preserve">, effective </w:t>
      </w:r>
      <w:r w:rsidR="00460040">
        <w:t>March 23, 2023</w:t>
      </w:r>
      <w:r>
        <w:t>)</w:t>
      </w:r>
    </w:p>
    <w:sectPr w:rsidR="000C7E0B" w:rsidSect="000C7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E0B"/>
    <w:rsid w:val="000C7E0B"/>
    <w:rsid w:val="001C2FBF"/>
    <w:rsid w:val="00460040"/>
    <w:rsid w:val="005273A0"/>
    <w:rsid w:val="005C3366"/>
    <w:rsid w:val="00973C38"/>
    <w:rsid w:val="009B1BB6"/>
    <w:rsid w:val="009F0319"/>
    <w:rsid w:val="00AD7D8F"/>
    <w:rsid w:val="00E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ADBE6"/>
  <w15:docId w15:val="{FEB5B071-1174-4A4B-81BF-FB55694C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