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1D18" w14:textId="77777777" w:rsidR="00873CB6" w:rsidRDefault="00873CB6" w:rsidP="00873CB6">
      <w:pPr>
        <w:widowControl w:val="0"/>
        <w:autoSpaceDE w:val="0"/>
        <w:autoSpaceDN w:val="0"/>
        <w:adjustRightInd w:val="0"/>
      </w:pPr>
    </w:p>
    <w:p w14:paraId="5854E800" w14:textId="77777777" w:rsidR="00873CB6" w:rsidRDefault="00873CB6" w:rsidP="00873C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304.204  </w:t>
      </w:r>
      <w:proofErr w:type="spellStart"/>
      <w:r>
        <w:rPr>
          <w:b/>
          <w:bCs/>
        </w:rPr>
        <w:t>Schoenberger</w:t>
      </w:r>
      <w:proofErr w:type="spellEnd"/>
      <w:proofErr w:type="gramEnd"/>
      <w:r>
        <w:rPr>
          <w:b/>
          <w:bCs/>
        </w:rPr>
        <w:t xml:space="preserve"> Creek:  Groundwater Discharges</w:t>
      </w:r>
      <w:r>
        <w:t xml:space="preserve"> </w:t>
      </w:r>
    </w:p>
    <w:p w14:paraId="4C553060" w14:textId="77777777" w:rsidR="00873CB6" w:rsidRDefault="00873CB6" w:rsidP="00873CB6">
      <w:pPr>
        <w:widowControl w:val="0"/>
        <w:autoSpaceDE w:val="0"/>
        <w:autoSpaceDN w:val="0"/>
        <w:adjustRightInd w:val="0"/>
      </w:pPr>
    </w:p>
    <w:p w14:paraId="7B2DADAF" w14:textId="59FF0BA7" w:rsidR="00873CB6" w:rsidRDefault="00873CB6" w:rsidP="00873C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rule </w:t>
      </w:r>
      <w:r w:rsidR="00715691">
        <w:t>applies</w:t>
      </w:r>
      <w:r>
        <w:t xml:space="preserve"> to discharges from an existing facility owned by Pfizer Corporation to </w:t>
      </w:r>
      <w:proofErr w:type="spellStart"/>
      <w:r>
        <w:t>Schoenberger</w:t>
      </w:r>
      <w:proofErr w:type="spellEnd"/>
      <w:r>
        <w:t xml:space="preserve"> Creek immediately south of the Baltimore and Ohio main tracks in </w:t>
      </w:r>
      <w:proofErr w:type="spellStart"/>
      <w:r>
        <w:t>T2N</w:t>
      </w:r>
      <w:proofErr w:type="spellEnd"/>
      <w:r>
        <w:t xml:space="preserve">, </w:t>
      </w:r>
      <w:proofErr w:type="spellStart"/>
      <w:r>
        <w:t>R9W</w:t>
      </w:r>
      <w:proofErr w:type="spellEnd"/>
      <w:r>
        <w:t xml:space="preserve"> of the 3rd P.M., St. Clair County. </w:t>
      </w:r>
    </w:p>
    <w:p w14:paraId="226D1879" w14:textId="77777777" w:rsidR="001A55E9" w:rsidRDefault="001A55E9" w:rsidP="004B6D33">
      <w:pPr>
        <w:widowControl w:val="0"/>
        <w:autoSpaceDE w:val="0"/>
        <w:autoSpaceDN w:val="0"/>
        <w:adjustRightInd w:val="0"/>
      </w:pPr>
    </w:p>
    <w:p w14:paraId="4E50A436" w14:textId="286EEE1F" w:rsidR="00873CB6" w:rsidRDefault="00873CB6" w:rsidP="00873C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rule </w:t>
      </w:r>
      <w:r w:rsidR="00715691">
        <w:t>applies</w:t>
      </w:r>
      <w:r>
        <w:t xml:space="preserve"> only to discharges of </w:t>
      </w:r>
      <w:r w:rsidR="00F40EAA">
        <w:t>groundwater used as non-contact</w:t>
      </w:r>
      <w:r>
        <w:t xml:space="preserve"> cooling water in which naturally occurring background concentrations have not been increased by industrial or other human use. </w:t>
      </w:r>
    </w:p>
    <w:p w14:paraId="06B885AF" w14:textId="77777777" w:rsidR="001A55E9" w:rsidRDefault="001A55E9" w:rsidP="004B6D33">
      <w:pPr>
        <w:widowControl w:val="0"/>
        <w:autoSpaceDE w:val="0"/>
        <w:autoSpaceDN w:val="0"/>
        <w:adjustRightInd w:val="0"/>
      </w:pPr>
    </w:p>
    <w:p w14:paraId="6FED4AC9" w14:textId="3B85ACA0" w:rsidR="00873CB6" w:rsidRDefault="00873CB6" w:rsidP="00873C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Instead of the general effluent standards in Section 304.124 for the listed parameters, these discharges </w:t>
      </w:r>
      <w:r w:rsidR="00715691">
        <w:t>must</w:t>
      </w:r>
      <w:r>
        <w:t xml:space="preserve"> not exceed the following limitations: </w:t>
      </w:r>
    </w:p>
    <w:p w14:paraId="7D5AF468" w14:textId="77777777" w:rsidR="00873CB6" w:rsidRDefault="00873CB6" w:rsidP="004B6D3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ayout w:type="fixed"/>
        <w:tblLook w:val="0000" w:firstRow="0" w:lastRow="0" w:firstColumn="0" w:lastColumn="0" w:noHBand="0" w:noVBand="0"/>
      </w:tblPr>
      <w:tblGrid>
        <w:gridCol w:w="3249"/>
        <w:gridCol w:w="1824"/>
        <w:gridCol w:w="2964"/>
      </w:tblGrid>
      <w:tr w:rsidR="00BA7288" w14:paraId="3915F3C5" w14:textId="77777777"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5F2F7F" w14:textId="77777777" w:rsidR="00BA7288" w:rsidRDefault="00BA7288" w:rsidP="001D1A2F">
            <w:r>
              <w:t>CONSTITUENT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ED16E9" w14:textId="2C8A22C9" w:rsidR="00BA7288" w:rsidRDefault="00BA7288" w:rsidP="001D1A2F">
            <w:pPr>
              <w:jc w:val="center"/>
            </w:pPr>
          </w:p>
        </w:tc>
        <w:tc>
          <w:tcPr>
            <w:tcW w:w="296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4CB07" w14:textId="77777777" w:rsidR="00BA7288" w:rsidRDefault="00BA7288" w:rsidP="001D1A2F">
            <w:pPr>
              <w:jc w:val="center"/>
            </w:pPr>
            <w:r>
              <w:t>CONCENTRATION</w:t>
            </w:r>
          </w:p>
          <w:p w14:paraId="343D91FA" w14:textId="4A654F1D" w:rsidR="00BA7288" w:rsidRDefault="00715691" w:rsidP="001D1A2F">
            <w:pPr>
              <w:jc w:val="center"/>
            </w:pPr>
            <w:r>
              <w:t>mg/L</w:t>
            </w:r>
          </w:p>
        </w:tc>
      </w:tr>
      <w:tr w:rsidR="00BA7288" w14:paraId="0B0857F7" w14:textId="77777777">
        <w:tc>
          <w:tcPr>
            <w:tcW w:w="3249" w:type="dxa"/>
          </w:tcPr>
          <w:p w14:paraId="1A359F24" w14:textId="77777777" w:rsidR="00BA7288" w:rsidRDefault="00BA7288" w:rsidP="001D1A2F"/>
        </w:tc>
        <w:tc>
          <w:tcPr>
            <w:tcW w:w="1824" w:type="dxa"/>
          </w:tcPr>
          <w:p w14:paraId="1626E200" w14:textId="77777777" w:rsidR="00BA7288" w:rsidRDefault="00BA7288" w:rsidP="001D1A2F">
            <w:pPr>
              <w:jc w:val="center"/>
            </w:pPr>
          </w:p>
        </w:tc>
        <w:tc>
          <w:tcPr>
            <w:tcW w:w="2964" w:type="dxa"/>
          </w:tcPr>
          <w:p w14:paraId="6CB8DD22" w14:textId="77777777" w:rsidR="00BA7288" w:rsidRDefault="00BA7288" w:rsidP="001D1A2F">
            <w:pPr>
              <w:jc w:val="center"/>
            </w:pPr>
          </w:p>
        </w:tc>
      </w:tr>
      <w:tr w:rsidR="00BA7288" w14:paraId="7D0CB698" w14:textId="77777777">
        <w:tc>
          <w:tcPr>
            <w:tcW w:w="3249" w:type="dxa"/>
          </w:tcPr>
          <w:p w14:paraId="5A2366E3" w14:textId="77777777" w:rsidR="00BA7288" w:rsidRDefault="00BA7288" w:rsidP="001D1A2F">
            <w:pPr>
              <w:widowControl w:val="0"/>
              <w:autoSpaceDE w:val="0"/>
              <w:autoSpaceDN w:val="0"/>
              <w:adjustRightInd w:val="0"/>
            </w:pPr>
            <w:r>
              <w:t>Iron (total)</w:t>
            </w:r>
          </w:p>
        </w:tc>
        <w:tc>
          <w:tcPr>
            <w:tcW w:w="1824" w:type="dxa"/>
          </w:tcPr>
          <w:p w14:paraId="1B2EE93C" w14:textId="2B98DA10" w:rsidR="00BA7288" w:rsidRDefault="00BA7288" w:rsidP="00BA7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4" w:type="dxa"/>
          </w:tcPr>
          <w:p w14:paraId="71B6634F" w14:textId="77777777" w:rsidR="00BA7288" w:rsidRDefault="00BA7288" w:rsidP="00BA7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BA7288" w14:paraId="17E3FF4B" w14:textId="77777777">
        <w:tc>
          <w:tcPr>
            <w:tcW w:w="3249" w:type="dxa"/>
          </w:tcPr>
          <w:p w14:paraId="6BC5F0CF" w14:textId="77777777" w:rsidR="00BA7288" w:rsidRDefault="00BA7288" w:rsidP="001D1A2F">
            <w:pPr>
              <w:widowControl w:val="0"/>
              <w:autoSpaceDE w:val="0"/>
              <w:autoSpaceDN w:val="0"/>
              <w:adjustRightInd w:val="0"/>
            </w:pPr>
            <w:r>
              <w:t>Total Suspended Solids</w:t>
            </w:r>
          </w:p>
        </w:tc>
        <w:tc>
          <w:tcPr>
            <w:tcW w:w="1824" w:type="dxa"/>
          </w:tcPr>
          <w:p w14:paraId="23B41E53" w14:textId="21F25914" w:rsidR="00BA7288" w:rsidRDefault="00BA7288" w:rsidP="00BA7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4" w:type="dxa"/>
          </w:tcPr>
          <w:p w14:paraId="4FFC29FF" w14:textId="77777777" w:rsidR="00BA7288" w:rsidRDefault="00BA7288" w:rsidP="00BA7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</w:tr>
    </w:tbl>
    <w:p w14:paraId="20C5AA0D" w14:textId="77777777" w:rsidR="00BA7288" w:rsidRDefault="00BA7288" w:rsidP="004B6D33">
      <w:pPr>
        <w:widowControl w:val="0"/>
        <w:autoSpaceDE w:val="0"/>
        <w:autoSpaceDN w:val="0"/>
        <w:adjustRightInd w:val="0"/>
      </w:pPr>
    </w:p>
    <w:p w14:paraId="5A198B57" w14:textId="6ACB5EA6" w:rsidR="00873CB6" w:rsidRDefault="00715691" w:rsidP="00873CB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659B6">
        <w:t>7</w:t>
      </w:r>
      <w:r>
        <w:t xml:space="preserve"> Ill. Reg. </w:t>
      </w:r>
      <w:r w:rsidR="00394EC4">
        <w:t>4601</w:t>
      </w:r>
      <w:r>
        <w:t xml:space="preserve">, effective </w:t>
      </w:r>
      <w:r w:rsidR="00394EC4">
        <w:t>March 23, 2023</w:t>
      </w:r>
      <w:r>
        <w:t>)</w:t>
      </w:r>
    </w:p>
    <w:sectPr w:rsidR="00873CB6" w:rsidSect="00873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CB6"/>
    <w:rsid w:val="001318DD"/>
    <w:rsid w:val="001A55E9"/>
    <w:rsid w:val="001D1A2F"/>
    <w:rsid w:val="00380E0F"/>
    <w:rsid w:val="00394EC4"/>
    <w:rsid w:val="004B6D33"/>
    <w:rsid w:val="005C3366"/>
    <w:rsid w:val="006659B6"/>
    <w:rsid w:val="00715691"/>
    <w:rsid w:val="00873CB6"/>
    <w:rsid w:val="00BA7288"/>
    <w:rsid w:val="00E05AC3"/>
    <w:rsid w:val="00E85EAC"/>
    <w:rsid w:val="00F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C202A4"/>
  <w15:docId w15:val="{F6662045-83CA-4956-91CB-5B5B2ACB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2023-04-08T20:34:00Z</dcterms:modified>
</cp:coreProperties>
</file>