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24FC5" w14:textId="77777777" w:rsidR="006C7B10" w:rsidRDefault="006C7B10" w:rsidP="006C7B10">
      <w:pPr>
        <w:widowControl w:val="0"/>
        <w:autoSpaceDE w:val="0"/>
        <w:autoSpaceDN w:val="0"/>
        <w:adjustRightInd w:val="0"/>
      </w:pPr>
    </w:p>
    <w:p w14:paraId="727AFE52" w14:textId="77777777" w:rsidR="006C7B10" w:rsidRDefault="006C7B10" w:rsidP="006C7B10">
      <w:pPr>
        <w:widowControl w:val="0"/>
        <w:autoSpaceDE w:val="0"/>
        <w:autoSpaceDN w:val="0"/>
        <w:adjustRightInd w:val="0"/>
      </w:pPr>
      <w:r>
        <w:rPr>
          <w:b/>
          <w:bCs/>
        </w:rPr>
        <w:t xml:space="preserve">Section </w:t>
      </w:r>
      <w:proofErr w:type="gramStart"/>
      <w:r>
        <w:rPr>
          <w:b/>
          <w:bCs/>
        </w:rPr>
        <w:t>304.201  Wastewater</w:t>
      </w:r>
      <w:proofErr w:type="gramEnd"/>
      <w:r>
        <w:rPr>
          <w:b/>
          <w:bCs/>
        </w:rPr>
        <w:t xml:space="preserve"> Treatment Plant Discharges of The Metropolitan Water Reclamation District of Greater Chicago</w:t>
      </w:r>
      <w:r>
        <w:t xml:space="preserve"> </w:t>
      </w:r>
    </w:p>
    <w:p w14:paraId="737B941C" w14:textId="77777777" w:rsidR="006C7B10" w:rsidRDefault="006C7B10" w:rsidP="006C7B10">
      <w:pPr>
        <w:widowControl w:val="0"/>
        <w:autoSpaceDE w:val="0"/>
        <w:autoSpaceDN w:val="0"/>
        <w:adjustRightInd w:val="0"/>
      </w:pPr>
    </w:p>
    <w:p w14:paraId="66EDEDFB" w14:textId="570CB785" w:rsidR="006C7B10" w:rsidRDefault="006C7B10" w:rsidP="006C7B10">
      <w:pPr>
        <w:widowControl w:val="0"/>
        <w:autoSpaceDE w:val="0"/>
        <w:autoSpaceDN w:val="0"/>
        <w:adjustRightInd w:val="0"/>
        <w:ind w:left="1440" w:hanging="720"/>
      </w:pPr>
      <w:r>
        <w:t>a)</w:t>
      </w:r>
      <w:r>
        <w:tab/>
        <w:t xml:space="preserve">Calumet Treatment Plant Discharges: </w:t>
      </w:r>
    </w:p>
    <w:p w14:paraId="50CFA11B" w14:textId="1C685D2D" w:rsidR="006C7B10" w:rsidRDefault="006C7B10" w:rsidP="00B4136D">
      <w:pPr>
        <w:widowControl w:val="0"/>
        <w:autoSpaceDE w:val="0"/>
        <w:autoSpaceDN w:val="0"/>
        <w:adjustRightInd w:val="0"/>
        <w:ind w:left="1440"/>
      </w:pPr>
      <w:r>
        <w:t xml:space="preserve">The effluent standards of Section 304.124 as applied to cyanide discharges, </w:t>
      </w:r>
      <w:r w:rsidR="00E5642D">
        <w:t>Section</w:t>
      </w:r>
      <w:r>
        <w:t xml:space="preserve"> 304.120(b) and (c)</w:t>
      </w:r>
      <w:r w:rsidR="00E57567">
        <w:t>,</w:t>
      </w:r>
      <w:r>
        <w:t xml:space="preserve"> and Section 304.122 do not apply to </w:t>
      </w:r>
      <w:r w:rsidR="0080184F" w:rsidRPr="0080184F">
        <w:t xml:space="preserve">carbonaceous </w:t>
      </w:r>
      <w:proofErr w:type="spellStart"/>
      <w:r>
        <w:t>BOD</w:t>
      </w:r>
      <w:r w:rsidRPr="00B6506C">
        <w:rPr>
          <w:vertAlign w:val="subscript"/>
        </w:rPr>
        <w:t>5</w:t>
      </w:r>
      <w:proofErr w:type="spellEnd"/>
      <w:r w:rsidR="0080184F">
        <w:t xml:space="preserve"> </w:t>
      </w:r>
      <w:r w:rsidR="0080184F" w:rsidRPr="0080184F">
        <w:t>(</w:t>
      </w:r>
      <w:proofErr w:type="spellStart"/>
      <w:r w:rsidR="0080184F" w:rsidRPr="0080184F">
        <w:t>CBOD5</w:t>
      </w:r>
      <w:proofErr w:type="spellEnd"/>
      <w:r w:rsidR="0080184F" w:rsidRPr="0080184F">
        <w:t>)</w:t>
      </w:r>
      <w:r>
        <w:t>, total suspended solids</w:t>
      </w:r>
      <w:r w:rsidR="0080184F">
        <w:t xml:space="preserve"> (TSS)</w:t>
      </w:r>
      <w:r>
        <w:t>, cyanide, and ammonia-nitrogen</w:t>
      </w:r>
      <w:r w:rsidR="00E57567">
        <w:t xml:space="preserve"> </w:t>
      </w:r>
      <w:r w:rsidR="0080184F">
        <w:t>as N</w:t>
      </w:r>
      <w:r>
        <w:t xml:space="preserve"> discharged from the Calumet Sewage Treatment Works of The Metropolitan Water Reclamation District of Greater Chicago.  Instead</w:t>
      </w:r>
      <w:r w:rsidR="00E57567">
        <w:t>,</w:t>
      </w:r>
      <w:r>
        <w:t xml:space="preserve"> it must meet the following effluent </w:t>
      </w:r>
      <w:r w:rsidR="0080184F">
        <w:t>standards</w:t>
      </w:r>
      <w:r>
        <w:t xml:space="preserve">, subject to the averaging rule of Section 304.104(a), effective July 1, 1988: </w:t>
      </w:r>
    </w:p>
    <w:p w14:paraId="48646A5D" w14:textId="77777777" w:rsidR="006C7B10" w:rsidRDefault="006C7B10" w:rsidP="00530045">
      <w:pPr>
        <w:widowControl w:val="0"/>
        <w:autoSpaceDE w:val="0"/>
        <w:autoSpaceDN w:val="0"/>
        <w:adjustRightInd w:val="0"/>
      </w:pPr>
    </w:p>
    <w:tbl>
      <w:tblPr>
        <w:tblW w:w="0" w:type="auto"/>
        <w:tblInd w:w="1533" w:type="dxa"/>
        <w:tblLayout w:type="fixed"/>
        <w:tblLook w:val="0000" w:firstRow="0" w:lastRow="0" w:firstColumn="0" w:lastColumn="0" w:noHBand="0" w:noVBand="0"/>
      </w:tblPr>
      <w:tblGrid>
        <w:gridCol w:w="2265"/>
        <w:gridCol w:w="1824"/>
        <w:gridCol w:w="2964"/>
      </w:tblGrid>
      <w:tr w:rsidR="00B6506C" w14:paraId="49A54442" w14:textId="77777777" w:rsidTr="0080184F">
        <w:tc>
          <w:tcPr>
            <w:tcW w:w="2265" w:type="dxa"/>
            <w:tcBorders>
              <w:top w:val="single" w:sz="6" w:space="0" w:color="auto"/>
              <w:bottom w:val="single" w:sz="6" w:space="0" w:color="auto"/>
            </w:tcBorders>
            <w:vAlign w:val="bottom"/>
          </w:tcPr>
          <w:p w14:paraId="4F515EA8" w14:textId="77777777" w:rsidR="00B6506C" w:rsidRDefault="00B6506C" w:rsidP="001D1A2F">
            <w:r>
              <w:t>CONSTITUENT</w:t>
            </w:r>
          </w:p>
        </w:tc>
        <w:tc>
          <w:tcPr>
            <w:tcW w:w="1824" w:type="dxa"/>
            <w:tcBorders>
              <w:top w:val="single" w:sz="6" w:space="0" w:color="auto"/>
              <w:bottom w:val="single" w:sz="6" w:space="0" w:color="auto"/>
            </w:tcBorders>
            <w:vAlign w:val="bottom"/>
          </w:tcPr>
          <w:p w14:paraId="17BB1DBB" w14:textId="120C9D49" w:rsidR="00B6506C" w:rsidRDefault="00B6506C" w:rsidP="001D1A2F">
            <w:pPr>
              <w:jc w:val="center"/>
            </w:pPr>
          </w:p>
        </w:tc>
        <w:tc>
          <w:tcPr>
            <w:tcW w:w="2964" w:type="dxa"/>
            <w:tcBorders>
              <w:top w:val="single" w:sz="6" w:space="0" w:color="auto"/>
              <w:bottom w:val="single" w:sz="6" w:space="0" w:color="auto"/>
            </w:tcBorders>
            <w:vAlign w:val="bottom"/>
          </w:tcPr>
          <w:p w14:paraId="0070494F" w14:textId="77777777" w:rsidR="00B6506C" w:rsidRDefault="00B6506C" w:rsidP="001D1A2F">
            <w:pPr>
              <w:jc w:val="center"/>
            </w:pPr>
            <w:r>
              <w:t>CONCENTRATION</w:t>
            </w:r>
          </w:p>
          <w:p w14:paraId="6EB8FBEA" w14:textId="08FAA55B" w:rsidR="00B6506C" w:rsidRDefault="002C2E1A" w:rsidP="001D1A2F">
            <w:pPr>
              <w:jc w:val="center"/>
            </w:pPr>
            <w:r>
              <w:t>m</w:t>
            </w:r>
            <w:r w:rsidR="0080184F">
              <w:t>g/L</w:t>
            </w:r>
          </w:p>
        </w:tc>
      </w:tr>
      <w:tr w:rsidR="00B6506C" w14:paraId="53F57223" w14:textId="77777777" w:rsidTr="0080184F">
        <w:tc>
          <w:tcPr>
            <w:tcW w:w="2265" w:type="dxa"/>
          </w:tcPr>
          <w:p w14:paraId="64386DEB" w14:textId="77777777" w:rsidR="00B6506C" w:rsidRDefault="00B6506C" w:rsidP="001D1A2F"/>
        </w:tc>
        <w:tc>
          <w:tcPr>
            <w:tcW w:w="1824" w:type="dxa"/>
          </w:tcPr>
          <w:p w14:paraId="63DDB752" w14:textId="77777777" w:rsidR="00B6506C" w:rsidRDefault="00B6506C" w:rsidP="001D1A2F">
            <w:pPr>
              <w:jc w:val="center"/>
            </w:pPr>
          </w:p>
        </w:tc>
        <w:tc>
          <w:tcPr>
            <w:tcW w:w="2964" w:type="dxa"/>
          </w:tcPr>
          <w:p w14:paraId="4BCEB4A8" w14:textId="77777777" w:rsidR="00B6506C" w:rsidRDefault="00B6506C" w:rsidP="001D1A2F">
            <w:pPr>
              <w:jc w:val="center"/>
            </w:pPr>
          </w:p>
        </w:tc>
      </w:tr>
      <w:tr w:rsidR="00B6506C" w14:paraId="2001E28D" w14:textId="77777777" w:rsidTr="0080184F">
        <w:tc>
          <w:tcPr>
            <w:tcW w:w="2265" w:type="dxa"/>
          </w:tcPr>
          <w:p w14:paraId="0A289224" w14:textId="77777777" w:rsidR="00B6506C" w:rsidRDefault="00B6506C" w:rsidP="00B6506C">
            <w:proofErr w:type="spellStart"/>
            <w:r>
              <w:t>CBOD</w:t>
            </w:r>
            <w:r w:rsidRPr="000B3311">
              <w:rPr>
                <w:vertAlign w:val="subscript"/>
              </w:rPr>
              <w:t>5</w:t>
            </w:r>
            <w:proofErr w:type="spellEnd"/>
          </w:p>
        </w:tc>
        <w:tc>
          <w:tcPr>
            <w:tcW w:w="1824" w:type="dxa"/>
          </w:tcPr>
          <w:p w14:paraId="517B385B" w14:textId="12A65181" w:rsidR="00B6506C" w:rsidRDefault="00B6506C" w:rsidP="00B6506C">
            <w:pPr>
              <w:jc w:val="center"/>
            </w:pPr>
          </w:p>
        </w:tc>
        <w:tc>
          <w:tcPr>
            <w:tcW w:w="2964" w:type="dxa"/>
          </w:tcPr>
          <w:p w14:paraId="7F2DED9F" w14:textId="77777777" w:rsidR="00B6506C" w:rsidRDefault="00B6506C" w:rsidP="00B6506C">
            <w:pPr>
              <w:jc w:val="center"/>
            </w:pPr>
            <w:r>
              <w:t>24</w:t>
            </w:r>
          </w:p>
        </w:tc>
      </w:tr>
      <w:tr w:rsidR="00B6506C" w14:paraId="31493510" w14:textId="77777777" w:rsidTr="0080184F">
        <w:tc>
          <w:tcPr>
            <w:tcW w:w="2265" w:type="dxa"/>
          </w:tcPr>
          <w:p w14:paraId="035D0362" w14:textId="1191733F" w:rsidR="00B6506C" w:rsidRDefault="0080184F" w:rsidP="00B6506C">
            <w:r>
              <w:t>TSS</w:t>
            </w:r>
          </w:p>
        </w:tc>
        <w:tc>
          <w:tcPr>
            <w:tcW w:w="1824" w:type="dxa"/>
          </w:tcPr>
          <w:p w14:paraId="22577702" w14:textId="13FEDFE7" w:rsidR="00B6506C" w:rsidRDefault="00B6506C" w:rsidP="00B6506C">
            <w:pPr>
              <w:jc w:val="center"/>
            </w:pPr>
          </w:p>
        </w:tc>
        <w:tc>
          <w:tcPr>
            <w:tcW w:w="2964" w:type="dxa"/>
          </w:tcPr>
          <w:p w14:paraId="107D483E" w14:textId="77777777" w:rsidR="00B6506C" w:rsidRDefault="00B6506C" w:rsidP="00B6506C">
            <w:pPr>
              <w:jc w:val="center"/>
            </w:pPr>
            <w:r>
              <w:t>28</w:t>
            </w:r>
          </w:p>
        </w:tc>
      </w:tr>
      <w:tr w:rsidR="00B6506C" w14:paraId="3F9F6DF1" w14:textId="77777777" w:rsidTr="0080184F">
        <w:tc>
          <w:tcPr>
            <w:tcW w:w="2265" w:type="dxa"/>
          </w:tcPr>
          <w:p w14:paraId="608565AD" w14:textId="77777777" w:rsidR="00B6506C" w:rsidRDefault="00E57567" w:rsidP="00B6506C">
            <w:r>
              <w:t xml:space="preserve">Ammonia </w:t>
            </w:r>
            <w:r w:rsidR="00B6506C">
              <w:t>Nitrogen (as N)</w:t>
            </w:r>
          </w:p>
        </w:tc>
        <w:tc>
          <w:tcPr>
            <w:tcW w:w="1824" w:type="dxa"/>
          </w:tcPr>
          <w:p w14:paraId="789A86E5" w14:textId="33E0543F" w:rsidR="00B6506C" w:rsidRDefault="00B6506C" w:rsidP="00B6506C">
            <w:pPr>
              <w:jc w:val="center"/>
            </w:pPr>
          </w:p>
        </w:tc>
        <w:tc>
          <w:tcPr>
            <w:tcW w:w="2964" w:type="dxa"/>
          </w:tcPr>
          <w:p w14:paraId="5B35F25B" w14:textId="77777777" w:rsidR="00B6506C" w:rsidRDefault="00B6506C" w:rsidP="00B6506C">
            <w:pPr>
              <w:jc w:val="center"/>
            </w:pPr>
            <w:r>
              <w:t>13</w:t>
            </w:r>
          </w:p>
        </w:tc>
      </w:tr>
      <w:tr w:rsidR="00B6506C" w14:paraId="02ACEF29" w14:textId="77777777" w:rsidTr="0080184F">
        <w:tc>
          <w:tcPr>
            <w:tcW w:w="2265" w:type="dxa"/>
          </w:tcPr>
          <w:p w14:paraId="62498B11" w14:textId="77777777" w:rsidR="00B6506C" w:rsidRDefault="00B6506C" w:rsidP="00B6506C">
            <w:r>
              <w:t>Cyanide</w:t>
            </w:r>
          </w:p>
        </w:tc>
        <w:tc>
          <w:tcPr>
            <w:tcW w:w="1824" w:type="dxa"/>
          </w:tcPr>
          <w:p w14:paraId="3A69072F" w14:textId="400CB89F" w:rsidR="00B6506C" w:rsidRDefault="00B6506C" w:rsidP="00B6506C">
            <w:pPr>
              <w:jc w:val="center"/>
            </w:pPr>
          </w:p>
        </w:tc>
        <w:tc>
          <w:tcPr>
            <w:tcW w:w="2964" w:type="dxa"/>
          </w:tcPr>
          <w:p w14:paraId="6A456126" w14:textId="77777777" w:rsidR="00B6506C" w:rsidRDefault="00B6506C" w:rsidP="00B6506C">
            <w:pPr>
              <w:jc w:val="center"/>
            </w:pPr>
            <w:r>
              <w:t>0.15</w:t>
            </w:r>
          </w:p>
        </w:tc>
      </w:tr>
    </w:tbl>
    <w:p w14:paraId="3F5FB124" w14:textId="77777777" w:rsidR="00B6506C" w:rsidRDefault="00B6506C" w:rsidP="00530045">
      <w:pPr>
        <w:widowControl w:val="0"/>
        <w:autoSpaceDE w:val="0"/>
        <w:autoSpaceDN w:val="0"/>
        <w:adjustRightInd w:val="0"/>
      </w:pPr>
    </w:p>
    <w:p w14:paraId="551B833A" w14:textId="77777777" w:rsidR="006C7B10" w:rsidRDefault="006C7B10" w:rsidP="006C7B10">
      <w:pPr>
        <w:widowControl w:val="0"/>
        <w:autoSpaceDE w:val="0"/>
        <w:autoSpaceDN w:val="0"/>
        <w:adjustRightInd w:val="0"/>
        <w:ind w:left="1440" w:hanging="720"/>
      </w:pPr>
      <w:r>
        <w:t>b)</w:t>
      </w:r>
      <w:r>
        <w:tab/>
        <w:t xml:space="preserve">North Side Sewage Treatment Works: </w:t>
      </w:r>
    </w:p>
    <w:p w14:paraId="1B862E0D" w14:textId="338AE73E" w:rsidR="006C7B10" w:rsidRDefault="006C7B10" w:rsidP="00B4136D">
      <w:pPr>
        <w:widowControl w:val="0"/>
        <w:autoSpaceDE w:val="0"/>
        <w:autoSpaceDN w:val="0"/>
        <w:adjustRightInd w:val="0"/>
        <w:ind w:left="1440"/>
      </w:pPr>
      <w:r>
        <w:t xml:space="preserve">The effluent standards of Sections 304.120(b) and (c) and 304.122 do not apply to </w:t>
      </w:r>
      <w:r w:rsidR="0080184F" w:rsidRPr="0080184F">
        <w:t xml:space="preserve">carbonaceous </w:t>
      </w:r>
      <w:proofErr w:type="spellStart"/>
      <w:r>
        <w:t>BOD</w:t>
      </w:r>
      <w:r w:rsidR="00B6506C">
        <w:rPr>
          <w:vertAlign w:val="subscript"/>
        </w:rPr>
        <w:t>5</w:t>
      </w:r>
      <w:proofErr w:type="spellEnd"/>
      <w:r w:rsidR="0080184F">
        <w:t xml:space="preserve"> </w:t>
      </w:r>
      <w:r w:rsidR="0080184F" w:rsidRPr="0080184F">
        <w:t>(</w:t>
      </w:r>
      <w:proofErr w:type="spellStart"/>
      <w:r w:rsidR="0080184F" w:rsidRPr="0080184F">
        <w:t>CBOD5</w:t>
      </w:r>
      <w:proofErr w:type="spellEnd"/>
      <w:r w:rsidR="0080184F" w:rsidRPr="0080184F">
        <w:t>)</w:t>
      </w:r>
      <w:r>
        <w:t>, total suspended solids</w:t>
      </w:r>
      <w:r w:rsidR="0080184F">
        <w:t xml:space="preserve"> (TSS)</w:t>
      </w:r>
      <w:r>
        <w:t xml:space="preserve">, and ammonia-nitrogen discharged from the North Side Sewage Treatment Works of The Metropolitan Water Reclamation District of Greater Chicago.  Instead, it must meet the following standard, subject to the averaging rule of Section 304.104(a) effective July 1, 1988: </w:t>
      </w:r>
    </w:p>
    <w:p w14:paraId="05A1645F" w14:textId="77777777" w:rsidR="006C7B10" w:rsidRDefault="006C7B10" w:rsidP="00530045">
      <w:pPr>
        <w:widowControl w:val="0"/>
        <w:autoSpaceDE w:val="0"/>
        <w:autoSpaceDN w:val="0"/>
        <w:adjustRightInd w:val="0"/>
      </w:pPr>
    </w:p>
    <w:tbl>
      <w:tblPr>
        <w:tblW w:w="0" w:type="auto"/>
        <w:tblInd w:w="1533" w:type="dxa"/>
        <w:tblLayout w:type="fixed"/>
        <w:tblLook w:val="0000" w:firstRow="0" w:lastRow="0" w:firstColumn="0" w:lastColumn="0" w:noHBand="0" w:noVBand="0"/>
      </w:tblPr>
      <w:tblGrid>
        <w:gridCol w:w="2355"/>
        <w:gridCol w:w="1824"/>
        <w:gridCol w:w="2964"/>
      </w:tblGrid>
      <w:tr w:rsidR="00B6506C" w14:paraId="45D34A10" w14:textId="77777777" w:rsidTr="002C2E1A">
        <w:tc>
          <w:tcPr>
            <w:tcW w:w="2355" w:type="dxa"/>
            <w:tcBorders>
              <w:top w:val="single" w:sz="6" w:space="0" w:color="auto"/>
              <w:bottom w:val="single" w:sz="6" w:space="0" w:color="auto"/>
            </w:tcBorders>
            <w:vAlign w:val="bottom"/>
          </w:tcPr>
          <w:p w14:paraId="1B94341B" w14:textId="77777777" w:rsidR="00B6506C" w:rsidRDefault="00B6506C" w:rsidP="001D1A2F">
            <w:r>
              <w:t>CONSTITUENT</w:t>
            </w:r>
          </w:p>
        </w:tc>
        <w:tc>
          <w:tcPr>
            <w:tcW w:w="1824" w:type="dxa"/>
            <w:tcBorders>
              <w:top w:val="single" w:sz="6" w:space="0" w:color="auto"/>
              <w:bottom w:val="single" w:sz="6" w:space="0" w:color="auto"/>
            </w:tcBorders>
            <w:vAlign w:val="bottom"/>
          </w:tcPr>
          <w:p w14:paraId="4BE306B3" w14:textId="6024292A" w:rsidR="00B6506C" w:rsidRDefault="00B6506C" w:rsidP="001D1A2F">
            <w:pPr>
              <w:jc w:val="center"/>
            </w:pPr>
          </w:p>
        </w:tc>
        <w:tc>
          <w:tcPr>
            <w:tcW w:w="2964" w:type="dxa"/>
            <w:tcBorders>
              <w:top w:val="single" w:sz="6" w:space="0" w:color="auto"/>
              <w:bottom w:val="single" w:sz="6" w:space="0" w:color="auto"/>
            </w:tcBorders>
            <w:vAlign w:val="bottom"/>
          </w:tcPr>
          <w:p w14:paraId="5F84CC8E" w14:textId="77777777" w:rsidR="00B6506C" w:rsidRDefault="00B6506C" w:rsidP="001D1A2F">
            <w:pPr>
              <w:jc w:val="center"/>
            </w:pPr>
            <w:r>
              <w:t>CONCENTRATION</w:t>
            </w:r>
          </w:p>
          <w:p w14:paraId="04A84107" w14:textId="664C296A" w:rsidR="00B6506C" w:rsidRDefault="002C2E1A" w:rsidP="001D1A2F">
            <w:pPr>
              <w:jc w:val="center"/>
            </w:pPr>
            <w:r>
              <w:t>mg/L</w:t>
            </w:r>
          </w:p>
        </w:tc>
      </w:tr>
      <w:tr w:rsidR="00B6506C" w14:paraId="3A7B6A6D" w14:textId="77777777" w:rsidTr="002C2E1A">
        <w:tc>
          <w:tcPr>
            <w:tcW w:w="2355" w:type="dxa"/>
          </w:tcPr>
          <w:p w14:paraId="55CD1B35" w14:textId="77777777" w:rsidR="00B6506C" w:rsidRDefault="00B6506C" w:rsidP="001D1A2F"/>
        </w:tc>
        <w:tc>
          <w:tcPr>
            <w:tcW w:w="1824" w:type="dxa"/>
          </w:tcPr>
          <w:p w14:paraId="3899A076" w14:textId="77777777" w:rsidR="00B6506C" w:rsidRDefault="00B6506C" w:rsidP="001D1A2F">
            <w:pPr>
              <w:jc w:val="center"/>
            </w:pPr>
          </w:p>
        </w:tc>
        <w:tc>
          <w:tcPr>
            <w:tcW w:w="2964" w:type="dxa"/>
          </w:tcPr>
          <w:p w14:paraId="78ADB165" w14:textId="77777777" w:rsidR="00B6506C" w:rsidRDefault="00B6506C" w:rsidP="001D1A2F">
            <w:pPr>
              <w:jc w:val="center"/>
            </w:pPr>
          </w:p>
        </w:tc>
      </w:tr>
      <w:tr w:rsidR="00B6506C" w14:paraId="12FB0220" w14:textId="77777777" w:rsidTr="002C2E1A">
        <w:tc>
          <w:tcPr>
            <w:tcW w:w="2355" w:type="dxa"/>
          </w:tcPr>
          <w:p w14:paraId="2BAE9F75" w14:textId="77777777" w:rsidR="00B6506C" w:rsidRPr="00B6506C" w:rsidRDefault="00B6506C" w:rsidP="00B6506C">
            <w:proofErr w:type="spellStart"/>
            <w:r>
              <w:t>CBOD</w:t>
            </w:r>
            <w:r w:rsidRPr="00B6506C">
              <w:rPr>
                <w:vertAlign w:val="subscript"/>
              </w:rPr>
              <w:t>5</w:t>
            </w:r>
            <w:proofErr w:type="spellEnd"/>
          </w:p>
        </w:tc>
        <w:tc>
          <w:tcPr>
            <w:tcW w:w="1824" w:type="dxa"/>
          </w:tcPr>
          <w:p w14:paraId="65280665" w14:textId="12DDBCB3" w:rsidR="00B6506C" w:rsidRPr="00B6506C" w:rsidRDefault="00B6506C" w:rsidP="00B6506C">
            <w:pPr>
              <w:jc w:val="center"/>
            </w:pPr>
          </w:p>
        </w:tc>
        <w:tc>
          <w:tcPr>
            <w:tcW w:w="2964" w:type="dxa"/>
          </w:tcPr>
          <w:p w14:paraId="4B8A480D" w14:textId="77777777" w:rsidR="00B6506C" w:rsidRPr="00B6506C" w:rsidRDefault="00B6506C" w:rsidP="00B6506C">
            <w:pPr>
              <w:jc w:val="center"/>
            </w:pPr>
            <w:r>
              <w:t>12</w:t>
            </w:r>
          </w:p>
        </w:tc>
      </w:tr>
      <w:tr w:rsidR="00B6506C" w14:paraId="21542E0D" w14:textId="77777777" w:rsidTr="002C2E1A">
        <w:tc>
          <w:tcPr>
            <w:tcW w:w="2355" w:type="dxa"/>
          </w:tcPr>
          <w:p w14:paraId="428D5294" w14:textId="5F9CD5CC" w:rsidR="00B6506C" w:rsidRDefault="002C2E1A" w:rsidP="00B6506C">
            <w:r>
              <w:t>TSS</w:t>
            </w:r>
          </w:p>
        </w:tc>
        <w:tc>
          <w:tcPr>
            <w:tcW w:w="1824" w:type="dxa"/>
          </w:tcPr>
          <w:p w14:paraId="42A5C026" w14:textId="1EC2EAD9" w:rsidR="00B6506C" w:rsidRDefault="00B6506C" w:rsidP="00B6506C">
            <w:pPr>
              <w:jc w:val="center"/>
            </w:pPr>
          </w:p>
        </w:tc>
        <w:tc>
          <w:tcPr>
            <w:tcW w:w="2964" w:type="dxa"/>
          </w:tcPr>
          <w:p w14:paraId="6BC9371C" w14:textId="77777777" w:rsidR="00B6506C" w:rsidRDefault="00B6506C" w:rsidP="00B6506C">
            <w:pPr>
              <w:jc w:val="center"/>
            </w:pPr>
            <w:r>
              <w:t>20</w:t>
            </w:r>
          </w:p>
        </w:tc>
      </w:tr>
      <w:tr w:rsidR="00B6506C" w14:paraId="4BF68C65" w14:textId="77777777" w:rsidTr="002C2E1A">
        <w:tc>
          <w:tcPr>
            <w:tcW w:w="2355" w:type="dxa"/>
          </w:tcPr>
          <w:p w14:paraId="35776C62" w14:textId="77777777" w:rsidR="00B6506C" w:rsidRDefault="00B6506C" w:rsidP="00B6506C">
            <w:r>
              <w:t>Ammonia Nitrogen (as N)</w:t>
            </w:r>
          </w:p>
        </w:tc>
        <w:tc>
          <w:tcPr>
            <w:tcW w:w="1824" w:type="dxa"/>
          </w:tcPr>
          <w:p w14:paraId="4185C644" w14:textId="77777777" w:rsidR="00B6506C" w:rsidRDefault="00B6506C" w:rsidP="00B6506C">
            <w:pPr>
              <w:jc w:val="center"/>
            </w:pPr>
          </w:p>
        </w:tc>
        <w:tc>
          <w:tcPr>
            <w:tcW w:w="2964" w:type="dxa"/>
          </w:tcPr>
          <w:p w14:paraId="4413F04D" w14:textId="77777777" w:rsidR="00B6506C" w:rsidRDefault="00B6506C" w:rsidP="00B6506C">
            <w:pPr>
              <w:jc w:val="center"/>
            </w:pPr>
          </w:p>
        </w:tc>
      </w:tr>
      <w:tr w:rsidR="00B6506C" w14:paraId="2BE861FB" w14:textId="77777777" w:rsidTr="002C2E1A">
        <w:tc>
          <w:tcPr>
            <w:tcW w:w="2355" w:type="dxa"/>
          </w:tcPr>
          <w:p w14:paraId="4C74D10A" w14:textId="77777777" w:rsidR="00B6506C" w:rsidRDefault="00B6506C" w:rsidP="002C2E1A">
            <w:r>
              <w:t>April - October</w:t>
            </w:r>
          </w:p>
        </w:tc>
        <w:tc>
          <w:tcPr>
            <w:tcW w:w="1824" w:type="dxa"/>
          </w:tcPr>
          <w:p w14:paraId="38843803" w14:textId="36B84459" w:rsidR="00B6506C" w:rsidRDefault="00B6506C" w:rsidP="00B6506C">
            <w:pPr>
              <w:jc w:val="center"/>
            </w:pPr>
          </w:p>
        </w:tc>
        <w:tc>
          <w:tcPr>
            <w:tcW w:w="2964" w:type="dxa"/>
          </w:tcPr>
          <w:p w14:paraId="43659A97" w14:textId="77777777" w:rsidR="00B6506C" w:rsidRDefault="00B6506C" w:rsidP="00B6506C">
            <w:pPr>
              <w:jc w:val="center"/>
            </w:pPr>
            <w:r>
              <w:t>2.5</w:t>
            </w:r>
          </w:p>
        </w:tc>
      </w:tr>
      <w:tr w:rsidR="00B6506C" w14:paraId="68385C40" w14:textId="77777777" w:rsidTr="002C2E1A">
        <w:tc>
          <w:tcPr>
            <w:tcW w:w="2355" w:type="dxa"/>
          </w:tcPr>
          <w:p w14:paraId="0D03ACD5" w14:textId="77777777" w:rsidR="00B6506C" w:rsidRDefault="00B6506C" w:rsidP="002C2E1A">
            <w:r>
              <w:t>November - March</w:t>
            </w:r>
          </w:p>
        </w:tc>
        <w:tc>
          <w:tcPr>
            <w:tcW w:w="1824" w:type="dxa"/>
          </w:tcPr>
          <w:p w14:paraId="610A2844" w14:textId="5622E90A" w:rsidR="00B6506C" w:rsidRDefault="00B6506C" w:rsidP="00B6506C">
            <w:pPr>
              <w:jc w:val="center"/>
            </w:pPr>
          </w:p>
        </w:tc>
        <w:tc>
          <w:tcPr>
            <w:tcW w:w="2964" w:type="dxa"/>
          </w:tcPr>
          <w:p w14:paraId="5DB79E14" w14:textId="77777777" w:rsidR="00B6506C" w:rsidRDefault="00B6506C" w:rsidP="00B6506C">
            <w:pPr>
              <w:jc w:val="center"/>
            </w:pPr>
            <w:r>
              <w:t>4.0</w:t>
            </w:r>
          </w:p>
        </w:tc>
      </w:tr>
    </w:tbl>
    <w:p w14:paraId="5537EE2C" w14:textId="77777777" w:rsidR="00B6506C" w:rsidRDefault="00B6506C" w:rsidP="00530045">
      <w:pPr>
        <w:widowControl w:val="0"/>
        <w:autoSpaceDE w:val="0"/>
        <w:autoSpaceDN w:val="0"/>
        <w:adjustRightInd w:val="0"/>
      </w:pPr>
    </w:p>
    <w:p w14:paraId="5DB8EF8A" w14:textId="3B25975F" w:rsidR="006C7B10" w:rsidRDefault="002C2E1A" w:rsidP="006C7B10">
      <w:pPr>
        <w:widowControl w:val="0"/>
        <w:autoSpaceDE w:val="0"/>
        <w:autoSpaceDN w:val="0"/>
        <w:adjustRightInd w:val="0"/>
        <w:ind w:left="1440" w:hanging="720"/>
      </w:pPr>
      <w:r>
        <w:t>(Source:  Amended at 4</w:t>
      </w:r>
      <w:r w:rsidR="00E5642D">
        <w:t>7</w:t>
      </w:r>
      <w:r>
        <w:t xml:space="preserve"> Ill. Reg. </w:t>
      </w:r>
      <w:r w:rsidR="00233071">
        <w:t>4601</w:t>
      </w:r>
      <w:r>
        <w:t xml:space="preserve">, effective </w:t>
      </w:r>
      <w:r w:rsidR="00233071">
        <w:t>March 23, 2023</w:t>
      </w:r>
      <w:r>
        <w:t>)</w:t>
      </w:r>
    </w:p>
    <w:sectPr w:rsidR="006C7B10" w:rsidSect="006C7B1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C7B10"/>
    <w:rsid w:val="000B3311"/>
    <w:rsid w:val="001D1A2F"/>
    <w:rsid w:val="00233071"/>
    <w:rsid w:val="0026433C"/>
    <w:rsid w:val="002C2E1A"/>
    <w:rsid w:val="00530045"/>
    <w:rsid w:val="005C3366"/>
    <w:rsid w:val="00614453"/>
    <w:rsid w:val="00650F39"/>
    <w:rsid w:val="006C7B10"/>
    <w:rsid w:val="0080184F"/>
    <w:rsid w:val="008B3A9B"/>
    <w:rsid w:val="009E6EA6"/>
    <w:rsid w:val="00B4136D"/>
    <w:rsid w:val="00B6506C"/>
    <w:rsid w:val="00D23BF1"/>
    <w:rsid w:val="00E5642D"/>
    <w:rsid w:val="00E57567"/>
    <w:rsid w:val="00EE1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2EAF347"/>
  <w15:docId w15:val="{7C278C40-448C-4BE7-98B0-F3AC830D6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Words>
  <Characters>1186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304</vt:lpstr>
    </vt:vector>
  </TitlesOfParts>
  <Company>State of Illinois</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304</dc:title>
  <dc:subject/>
  <dc:creator>Illinois General Assembly</dc:creator>
  <cp:keywords/>
  <dc:description/>
  <cp:lastModifiedBy>Shipley, Melissa A.</cp:lastModifiedBy>
  <cp:revision>4</cp:revision>
  <dcterms:created xsi:type="dcterms:W3CDTF">2023-04-05T18:51:00Z</dcterms:created>
  <dcterms:modified xsi:type="dcterms:W3CDTF">2023-04-08T20:33:00Z</dcterms:modified>
</cp:coreProperties>
</file>