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7EC1" w14:textId="77777777" w:rsidR="00901D87" w:rsidRDefault="00901D87" w:rsidP="00901D87">
      <w:pPr>
        <w:widowControl w:val="0"/>
        <w:autoSpaceDE w:val="0"/>
        <w:autoSpaceDN w:val="0"/>
        <w:adjustRightInd w:val="0"/>
      </w:pPr>
    </w:p>
    <w:p w14:paraId="7C468A9A" w14:textId="77777777" w:rsidR="00901D87" w:rsidRDefault="00901D87" w:rsidP="00901D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303.321  Wabash River Temperature</w:t>
      </w:r>
      <w:r>
        <w:t xml:space="preserve"> </w:t>
      </w:r>
    </w:p>
    <w:p w14:paraId="394023A4" w14:textId="77777777" w:rsidR="00901D87" w:rsidRDefault="00901D87" w:rsidP="00901D87">
      <w:pPr>
        <w:widowControl w:val="0"/>
        <w:autoSpaceDE w:val="0"/>
        <w:autoSpaceDN w:val="0"/>
        <w:adjustRightInd w:val="0"/>
      </w:pPr>
    </w:p>
    <w:p w14:paraId="6CA4216B" w14:textId="22748F5D" w:rsidR="00901D87" w:rsidRDefault="00901D87" w:rsidP="00901D87">
      <w:pPr>
        <w:widowControl w:val="0"/>
        <w:autoSpaceDE w:val="0"/>
        <w:autoSpaceDN w:val="0"/>
        <w:adjustRightInd w:val="0"/>
      </w:pPr>
      <w:r>
        <w:t xml:space="preserve">Instead of the standards of </w:t>
      </w:r>
      <w:r w:rsidR="00D306C7" w:rsidRPr="00D306C7">
        <w:t>35 Ill. Adm. Code</w:t>
      </w:r>
      <w:r>
        <w:t xml:space="preserve"> 302.211(e), the water temperature at representative locations in the main river of the Wabash River and its interstate tributaries </w:t>
      </w:r>
      <w:r w:rsidR="00D306C7">
        <w:t>must</w:t>
      </w:r>
      <w:r>
        <w:t xml:space="preserve"> not exceed the maximum limits in the following table during more than 1% of the hours in the </w:t>
      </w:r>
      <w:r w:rsidR="0071193F" w:rsidRPr="0071193F">
        <w:t>12</w:t>
      </w:r>
      <w:r w:rsidR="0071193F">
        <w:t>-</w:t>
      </w:r>
      <w:r w:rsidR="0071193F" w:rsidRPr="0071193F">
        <w:t>month</w:t>
      </w:r>
      <w:r>
        <w:t xml:space="preserve"> period ending with any month.  </w:t>
      </w:r>
      <w:r w:rsidR="00D306C7">
        <w:t>The</w:t>
      </w:r>
      <w:r>
        <w:t xml:space="preserve"> water temperature at </w:t>
      </w:r>
      <w:r w:rsidR="00D306C7">
        <w:t>these</w:t>
      </w:r>
      <w:r>
        <w:t xml:space="preserve"> locations </w:t>
      </w:r>
      <w:r w:rsidR="00D306C7">
        <w:t xml:space="preserve">must not at any time </w:t>
      </w:r>
      <w:r>
        <w:t xml:space="preserve">exceed the maximum limits in the following table by more than </w:t>
      </w:r>
      <w:r w:rsidR="00D306C7" w:rsidRPr="00D306C7">
        <w:t>1.7 ºC (3 ºF)</w:t>
      </w:r>
      <w:r>
        <w:t xml:space="preserve">. </w:t>
      </w:r>
    </w:p>
    <w:p w14:paraId="6FA2F3B7" w14:textId="77777777" w:rsidR="00901D87" w:rsidRDefault="00901D87" w:rsidP="00901D87">
      <w:pPr>
        <w:widowControl w:val="0"/>
        <w:autoSpaceDE w:val="0"/>
        <w:autoSpaceDN w:val="0"/>
        <w:adjustRightInd w:val="0"/>
      </w:pPr>
    </w:p>
    <w:tbl>
      <w:tblPr>
        <w:tblW w:w="0" w:type="auto"/>
        <w:tblInd w:w="300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82"/>
        <w:gridCol w:w="1178"/>
        <w:gridCol w:w="1178"/>
        <w:gridCol w:w="1178"/>
      </w:tblGrid>
      <w:tr w:rsidR="00901D87" w14:paraId="5DE51C1B" w14:textId="77777777" w:rsidTr="00901D8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96C9868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FC166" w14:textId="6CACB4AE" w:rsidR="00901D87" w:rsidRDefault="00D306C7" w:rsidP="00CA5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6C7">
              <w:t>ºC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4B23F1" w14:textId="389C6582" w:rsidR="00901D87" w:rsidRDefault="00D306C7" w:rsidP="00CA5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6C7">
              <w:t>ºF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CAED61B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2A587F89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216750" w14:textId="62EEEE16" w:rsidR="00901D87" w:rsidRDefault="00D306C7" w:rsidP="00CA5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6C7">
              <w:t>ºC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8538E9" w14:textId="0330B53C" w:rsidR="00901D87" w:rsidRPr="00D306C7" w:rsidRDefault="00D306C7" w:rsidP="00CA5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6C7">
              <w:t>ºF</w:t>
            </w:r>
          </w:p>
        </w:tc>
      </w:tr>
      <w:tr w:rsidR="00901D87" w14:paraId="3C75D16C" w14:textId="77777777" w:rsidTr="00901D87">
        <w:trPr>
          <w:trHeight w:val="44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4335E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9E364C8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9E1902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3F16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B1544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5BCF95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43766F6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</w:tr>
      <w:tr w:rsidR="00901D87" w14:paraId="5013D3CD" w14:textId="77777777" w:rsidTr="00901D8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FDED9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4F0AB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18EB0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05BC31D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90CD2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DB399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FD039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</w:tr>
      <w:tr w:rsidR="00901D87" w14:paraId="099E0B3B" w14:textId="77777777" w:rsidTr="00901D8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1490C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C2893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D79B9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EF3A4BF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3F4A6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6629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51548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</w:tr>
      <w:tr w:rsidR="00901D87" w14:paraId="06BEA754" w14:textId="77777777" w:rsidTr="00901D8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18006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91DE4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7C66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87D189A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5AF56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4613E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349B0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901D87" w14:paraId="3F92B0DB" w14:textId="77777777" w:rsidTr="00901D8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5F271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2CA57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95E06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A88CDAB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6E985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96957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ACFCD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901D87" w14:paraId="0D934CEF" w14:textId="77777777" w:rsidTr="00901D8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7A30A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69C89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00ECF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504E946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6069C" w14:textId="77777777" w:rsidR="00901D87" w:rsidRDefault="00901D87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862E5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6A4F6" w14:textId="77777777" w:rsidR="00901D87" w:rsidRDefault="00901D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</w:tbl>
    <w:p w14:paraId="66FB1EF3" w14:textId="77777777" w:rsidR="00901D87" w:rsidRDefault="00901D87" w:rsidP="00901D87">
      <w:pPr>
        <w:widowControl w:val="0"/>
        <w:autoSpaceDE w:val="0"/>
        <w:autoSpaceDN w:val="0"/>
        <w:adjustRightInd w:val="0"/>
      </w:pPr>
    </w:p>
    <w:p w14:paraId="4ADF3DF9" w14:textId="040CCD11" w:rsidR="000174EB" w:rsidRPr="00093935" w:rsidRDefault="00D306C7" w:rsidP="00D306C7">
      <w:pPr>
        <w:ind w:firstLine="720"/>
      </w:pPr>
      <w:r>
        <w:t>(Source:  Amended at 4</w:t>
      </w:r>
      <w:r w:rsidR="0071193F">
        <w:t>7</w:t>
      </w:r>
      <w:r>
        <w:t xml:space="preserve"> Ill. Reg. </w:t>
      </w:r>
      <w:r w:rsidR="001041FC">
        <w:t>4575</w:t>
      </w:r>
      <w:r>
        <w:t xml:space="preserve">, effective </w:t>
      </w:r>
      <w:r w:rsidR="001041FC">
        <w:t>March 23,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10C5" w14:textId="77777777" w:rsidR="00311861" w:rsidRDefault="00311861">
      <w:r>
        <w:separator/>
      </w:r>
    </w:p>
  </w:endnote>
  <w:endnote w:type="continuationSeparator" w:id="0">
    <w:p w14:paraId="79B99339" w14:textId="77777777" w:rsidR="00311861" w:rsidRDefault="0031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504C" w14:textId="77777777" w:rsidR="00311861" w:rsidRDefault="00311861">
      <w:r>
        <w:separator/>
      </w:r>
    </w:p>
  </w:footnote>
  <w:footnote w:type="continuationSeparator" w:id="0">
    <w:p w14:paraId="2E298412" w14:textId="77777777" w:rsidR="00311861" w:rsidRDefault="0031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1F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86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3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D8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301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B26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6C7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85023"/>
  <w15:chartTrackingRefBased/>
  <w15:docId w15:val="{4BD49557-2042-4C57-9970-36CE3DE5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D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