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C9CC" w14:textId="77777777" w:rsidR="00C1690B" w:rsidRDefault="00C1690B" w:rsidP="00C1690B">
      <w:pPr>
        <w:widowControl w:val="0"/>
        <w:autoSpaceDE w:val="0"/>
        <w:autoSpaceDN w:val="0"/>
        <w:adjustRightInd w:val="0"/>
      </w:pPr>
    </w:p>
    <w:p w14:paraId="48AF8EEB" w14:textId="77777777" w:rsidR="00C1690B" w:rsidRDefault="00C1690B" w:rsidP="00C169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302.633  The</w:t>
      </w:r>
      <w:proofErr w:type="gramEnd"/>
      <w:r>
        <w:rPr>
          <w:b/>
          <w:bCs/>
        </w:rPr>
        <w:t xml:space="preserve"> Wild and Domestic Animal Protection Criterion</w:t>
      </w:r>
      <w:r>
        <w:t xml:space="preserve"> </w:t>
      </w:r>
    </w:p>
    <w:p w14:paraId="120AB84C" w14:textId="77777777" w:rsidR="00C1690B" w:rsidRDefault="00C1690B" w:rsidP="00C1690B">
      <w:pPr>
        <w:widowControl w:val="0"/>
        <w:autoSpaceDE w:val="0"/>
        <w:autoSpaceDN w:val="0"/>
        <w:adjustRightInd w:val="0"/>
      </w:pPr>
    </w:p>
    <w:p w14:paraId="404CF6CE" w14:textId="37D6AD1E" w:rsidR="00C1690B" w:rsidRDefault="00C1690B" w:rsidP="00C1690B">
      <w:pPr>
        <w:widowControl w:val="0"/>
        <w:autoSpaceDE w:val="0"/>
        <w:autoSpaceDN w:val="0"/>
        <w:adjustRightInd w:val="0"/>
      </w:pPr>
      <w:r>
        <w:t>The Wild and Domestic Animal Protection Criterion (</w:t>
      </w:r>
      <w:proofErr w:type="spellStart"/>
      <w:r>
        <w:t>WDAPC</w:t>
      </w:r>
      <w:proofErr w:type="spellEnd"/>
      <w:r>
        <w:t xml:space="preserve">) is the concentration of a substance </w:t>
      </w:r>
      <w:r w:rsidR="00136FDE">
        <w:t>that,</w:t>
      </w:r>
      <w:r>
        <w:t xml:space="preserve"> if not exceeded</w:t>
      </w:r>
      <w:r w:rsidR="00136FDE">
        <w:t>,</w:t>
      </w:r>
      <w:r>
        <w:t xml:space="preserve"> protects Illinois wild and domestic animals from adverse effects, such as functional impairment or pathological lesions, resulting from ingestion of surface waters of the State </w:t>
      </w:r>
      <w:r w:rsidR="00136FDE">
        <w:t>or</w:t>
      </w:r>
      <w:r>
        <w:t xml:space="preserve"> ingestion of aquatic organisms taken from surface waters of the State. </w:t>
      </w:r>
    </w:p>
    <w:p w14:paraId="63A50357" w14:textId="77777777" w:rsidR="009F6891" w:rsidRDefault="009F6891" w:rsidP="00C1690B">
      <w:pPr>
        <w:widowControl w:val="0"/>
        <w:autoSpaceDE w:val="0"/>
        <w:autoSpaceDN w:val="0"/>
        <w:adjustRightInd w:val="0"/>
      </w:pPr>
    </w:p>
    <w:p w14:paraId="4C7E1DE3" w14:textId="77777777" w:rsidR="00C1690B" w:rsidRDefault="00C1690B" w:rsidP="00C169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those substances for which a </w:t>
      </w:r>
      <w:proofErr w:type="spellStart"/>
      <w:r>
        <w:t>NOAEL</w:t>
      </w:r>
      <w:proofErr w:type="spellEnd"/>
      <w:r>
        <w:t xml:space="preserve"> has been derived from studies of mammalian or avian species exposed to the substance via oral routes including gavage, the lowest </w:t>
      </w:r>
      <w:proofErr w:type="spellStart"/>
      <w:r>
        <w:t>NOAEL</w:t>
      </w:r>
      <w:proofErr w:type="spellEnd"/>
      <w:r>
        <w:t xml:space="preserve"> among species must be used in calculating the </w:t>
      </w:r>
      <w:proofErr w:type="spellStart"/>
      <w:r>
        <w:t>WDAPC</w:t>
      </w:r>
      <w:proofErr w:type="spellEnd"/>
      <w:r>
        <w:t xml:space="preserve">.  Additional considerations in selecting </w:t>
      </w:r>
      <w:proofErr w:type="spellStart"/>
      <w:r>
        <w:t>NOAEL</w:t>
      </w:r>
      <w:proofErr w:type="spellEnd"/>
      <w:r>
        <w:t xml:space="preserve"> include:</w:t>
      </w:r>
    </w:p>
    <w:p w14:paraId="1D4D5BEB" w14:textId="77777777" w:rsidR="009F6891" w:rsidRDefault="009F6891" w:rsidP="00AC7DC0">
      <w:pPr>
        <w:widowControl w:val="0"/>
        <w:autoSpaceDE w:val="0"/>
        <w:autoSpaceDN w:val="0"/>
        <w:adjustRightInd w:val="0"/>
      </w:pPr>
    </w:p>
    <w:p w14:paraId="3BCC00AA" w14:textId="6D2BA18D" w:rsidR="00C1690B" w:rsidRDefault="00C1690B" w:rsidP="00C169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</w:t>
      </w:r>
      <w:proofErr w:type="spellStart"/>
      <w:r>
        <w:t>NOAEL</w:t>
      </w:r>
      <w:proofErr w:type="spellEnd"/>
      <w:r>
        <w:t xml:space="preserve"> is given in milligrams of toxicant per liter of water consumed (mg/L), </w:t>
      </w:r>
      <w:r w:rsidR="00136FDE">
        <w:t>before</w:t>
      </w:r>
      <w:r>
        <w:t xml:space="preserve"> calculating the </w:t>
      </w:r>
      <w:proofErr w:type="spellStart"/>
      <w:r>
        <w:t>WDAPC</w:t>
      </w:r>
      <w:proofErr w:type="spellEnd"/>
      <w:r>
        <w:t xml:space="preserve">, the </w:t>
      </w:r>
      <w:proofErr w:type="spellStart"/>
      <w:r>
        <w:t>NOAEL</w:t>
      </w:r>
      <w:proofErr w:type="spellEnd"/>
      <w:r>
        <w:t xml:space="preserve"> must be multiplied by the daily average volume of water consumed by the test animals in liters per day (L/d) and divided by the average weight of the test animals in kilograms (kg). </w:t>
      </w:r>
    </w:p>
    <w:p w14:paraId="1C425FBD" w14:textId="77777777" w:rsidR="009F6891" w:rsidRDefault="009F6891" w:rsidP="00AC7DC0">
      <w:pPr>
        <w:widowControl w:val="0"/>
        <w:autoSpaceDE w:val="0"/>
        <w:autoSpaceDN w:val="0"/>
        <w:adjustRightInd w:val="0"/>
      </w:pPr>
    </w:p>
    <w:p w14:paraId="395F914E" w14:textId="3DE199EE" w:rsidR="00C1690B" w:rsidRDefault="00C1690B" w:rsidP="00C169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</w:t>
      </w:r>
      <w:proofErr w:type="spellStart"/>
      <w:r>
        <w:t>NOAEL</w:t>
      </w:r>
      <w:proofErr w:type="spellEnd"/>
      <w:r>
        <w:t xml:space="preserve"> is given in milligrams of toxicant per kilogram of food consumed (mg/kg), </w:t>
      </w:r>
      <w:r w:rsidR="00136FDE">
        <w:t>before</w:t>
      </w:r>
      <w:r>
        <w:t xml:space="preserve"> calculating the </w:t>
      </w:r>
      <w:proofErr w:type="spellStart"/>
      <w:r>
        <w:t>WDAPC</w:t>
      </w:r>
      <w:proofErr w:type="spellEnd"/>
      <w:r>
        <w:t xml:space="preserve">, the </w:t>
      </w:r>
      <w:proofErr w:type="spellStart"/>
      <w:r>
        <w:t>NOAEL</w:t>
      </w:r>
      <w:proofErr w:type="spellEnd"/>
      <w:r>
        <w:t xml:space="preserve"> must be multiplied by the average amount of food in kilograms consumed daily by the test animals (kg/d) and divided by the average weight of the test animals in kilograms (kg). </w:t>
      </w:r>
    </w:p>
    <w:p w14:paraId="2256274B" w14:textId="77777777" w:rsidR="009F6891" w:rsidRDefault="009F6891" w:rsidP="00AC7DC0">
      <w:pPr>
        <w:widowControl w:val="0"/>
        <w:autoSpaceDE w:val="0"/>
        <w:autoSpaceDN w:val="0"/>
        <w:adjustRightInd w:val="0"/>
      </w:pPr>
    </w:p>
    <w:p w14:paraId="5E2E266F" w14:textId="77777777" w:rsidR="00C1690B" w:rsidRDefault="00C1690B" w:rsidP="00C169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animals used in a study were not exposed to the toxicant each day of the test period, the </w:t>
      </w:r>
      <w:proofErr w:type="spellStart"/>
      <w:r>
        <w:t>NOAEL</w:t>
      </w:r>
      <w:proofErr w:type="spellEnd"/>
      <w:r>
        <w:t xml:space="preserve"> must be multiplied by the ratio of days of exposure to the total days in the test period. </w:t>
      </w:r>
    </w:p>
    <w:p w14:paraId="2B856763" w14:textId="77777777" w:rsidR="009F6891" w:rsidRDefault="009F6891" w:rsidP="00AC7DC0">
      <w:pPr>
        <w:widowControl w:val="0"/>
        <w:autoSpaceDE w:val="0"/>
        <w:autoSpaceDN w:val="0"/>
        <w:adjustRightInd w:val="0"/>
      </w:pPr>
    </w:p>
    <w:p w14:paraId="37DC0C7E" w14:textId="77777777" w:rsidR="00C1690B" w:rsidRDefault="00C1690B" w:rsidP="00C169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more than one </w:t>
      </w:r>
      <w:proofErr w:type="spellStart"/>
      <w:r>
        <w:t>NOAEL</w:t>
      </w:r>
      <w:proofErr w:type="spellEnd"/>
      <w:r>
        <w:t xml:space="preserve"> is available for the same animal species, the geometric mean of the </w:t>
      </w:r>
      <w:proofErr w:type="spellStart"/>
      <w:r>
        <w:t>NOAELs</w:t>
      </w:r>
      <w:proofErr w:type="spellEnd"/>
      <w:r>
        <w:t xml:space="preserve"> must be used to calculate the </w:t>
      </w:r>
      <w:proofErr w:type="spellStart"/>
      <w:r>
        <w:t>WDAPC</w:t>
      </w:r>
      <w:proofErr w:type="spellEnd"/>
      <w:r>
        <w:t xml:space="preserve">. </w:t>
      </w:r>
    </w:p>
    <w:p w14:paraId="0FD81B36" w14:textId="77777777" w:rsidR="009F6891" w:rsidRDefault="009F6891" w:rsidP="00AC7DC0">
      <w:pPr>
        <w:widowControl w:val="0"/>
        <w:autoSpaceDE w:val="0"/>
        <w:autoSpaceDN w:val="0"/>
        <w:adjustRightInd w:val="0"/>
      </w:pPr>
    </w:p>
    <w:p w14:paraId="7098AD7F" w14:textId="12DB151B" w:rsidR="00C1690B" w:rsidRDefault="00C1690B" w:rsidP="00C169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those substances for which a </w:t>
      </w:r>
      <w:proofErr w:type="spellStart"/>
      <w:r>
        <w:t>NOAEL</w:t>
      </w:r>
      <w:proofErr w:type="spellEnd"/>
      <w:r>
        <w:t xml:space="preserve"> is not available but the lowest observed adverse effect level (</w:t>
      </w:r>
      <w:proofErr w:type="spellStart"/>
      <w:r>
        <w:t>LOAEL</w:t>
      </w:r>
      <w:proofErr w:type="spellEnd"/>
      <w:r>
        <w:t xml:space="preserve">) has been derived from studies of animal species exposed to the substance via oral routes including gavage, one-tenth of the </w:t>
      </w:r>
      <w:proofErr w:type="spellStart"/>
      <w:r>
        <w:t>LOAEL</w:t>
      </w:r>
      <w:proofErr w:type="spellEnd"/>
      <w:r>
        <w:t xml:space="preserve"> </w:t>
      </w:r>
      <w:r w:rsidR="00610C27">
        <w:t>must</w:t>
      </w:r>
      <w:r>
        <w:t xml:space="preserve"> be substituted for the </w:t>
      </w:r>
      <w:proofErr w:type="spellStart"/>
      <w:r>
        <w:t>NOAEL</w:t>
      </w:r>
      <w:proofErr w:type="spellEnd"/>
      <w:r>
        <w:t xml:space="preserve">. </w:t>
      </w:r>
    </w:p>
    <w:p w14:paraId="2C44DAE6" w14:textId="77777777" w:rsidR="009F6891" w:rsidRDefault="009F6891" w:rsidP="00AC7DC0">
      <w:pPr>
        <w:widowControl w:val="0"/>
        <w:autoSpaceDE w:val="0"/>
        <w:autoSpaceDN w:val="0"/>
        <w:adjustRightInd w:val="0"/>
      </w:pPr>
    </w:p>
    <w:p w14:paraId="688E6379" w14:textId="77777777" w:rsidR="00C1690B" w:rsidRDefault="00C1690B" w:rsidP="00C169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proofErr w:type="spellStart"/>
      <w:r>
        <w:t>LOAEL</w:t>
      </w:r>
      <w:proofErr w:type="spellEnd"/>
      <w:r>
        <w:t xml:space="preserve"> must be selected in the same manner as that specified for the </w:t>
      </w:r>
      <w:proofErr w:type="spellStart"/>
      <w:r>
        <w:t>NOAEL</w:t>
      </w:r>
      <w:proofErr w:type="spellEnd"/>
      <w:r>
        <w:t xml:space="preserve"> in subsection (a). </w:t>
      </w:r>
    </w:p>
    <w:p w14:paraId="398B0275" w14:textId="77777777" w:rsidR="009F6891" w:rsidRDefault="009F6891" w:rsidP="00AC7DC0">
      <w:pPr>
        <w:widowControl w:val="0"/>
        <w:autoSpaceDE w:val="0"/>
        <w:autoSpaceDN w:val="0"/>
        <w:adjustRightInd w:val="0"/>
      </w:pPr>
    </w:p>
    <w:p w14:paraId="24EA12C1" w14:textId="77777777" w:rsidR="00C1690B" w:rsidRDefault="00C1690B" w:rsidP="00C1690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proofErr w:type="spellStart"/>
      <w:r>
        <w:t>WDAPC</w:t>
      </w:r>
      <w:proofErr w:type="spellEnd"/>
      <w:r>
        <w:t>, measured in milligrams per liter (mg/L), is calculated according to the equation:</w:t>
      </w:r>
    </w:p>
    <w:p w14:paraId="42DE3E32" w14:textId="77777777" w:rsidR="00C1690B" w:rsidRDefault="00C1690B" w:rsidP="00AC7DC0">
      <w:pPr>
        <w:widowControl w:val="0"/>
        <w:autoSpaceDE w:val="0"/>
        <w:autoSpaceDN w:val="0"/>
        <w:adjustRightInd w:val="0"/>
      </w:pPr>
    </w:p>
    <w:p w14:paraId="6304D3F6" w14:textId="77777777" w:rsidR="00C1690B" w:rsidRDefault="00C1690B" w:rsidP="00C1690B">
      <w:pPr>
        <w:widowControl w:val="0"/>
        <w:autoSpaceDE w:val="0"/>
        <w:autoSpaceDN w:val="0"/>
        <w:adjustRightInd w:val="0"/>
        <w:ind w:left="2160" w:hanging="720"/>
      </w:pPr>
      <w:r>
        <w:tab/>
      </w:r>
      <w:proofErr w:type="spellStart"/>
      <w:r>
        <w:t>WDAPC</w:t>
      </w:r>
      <w:proofErr w:type="spellEnd"/>
      <w:r>
        <w:t xml:space="preserve"> = [0.1 </w:t>
      </w:r>
      <w:proofErr w:type="spellStart"/>
      <w:r>
        <w:t>NOAEL</w:t>
      </w:r>
      <w:proofErr w:type="spellEnd"/>
      <w:r>
        <w:t xml:space="preserve"> x </w:t>
      </w:r>
      <w:proofErr w:type="spellStart"/>
      <w:r>
        <w:t>Wt</w:t>
      </w:r>
      <w:proofErr w:type="spellEnd"/>
      <w:r>
        <w:t>]</w:t>
      </w:r>
      <w:proofErr w:type="gramStart"/>
      <w:r>
        <w:t>/[</w:t>
      </w:r>
      <w:proofErr w:type="gramEnd"/>
      <w:r>
        <w:t xml:space="preserve">W + (F x BCF)] </w:t>
      </w:r>
    </w:p>
    <w:p w14:paraId="4B446F5D" w14:textId="77777777" w:rsidR="00C1690B" w:rsidRDefault="00C1690B" w:rsidP="00AC7DC0">
      <w:pPr>
        <w:widowControl w:val="0"/>
        <w:autoSpaceDE w:val="0"/>
        <w:autoSpaceDN w:val="0"/>
        <w:adjustRightInd w:val="0"/>
      </w:pPr>
    </w:p>
    <w:p w14:paraId="1B712B50" w14:textId="77777777" w:rsidR="00C1690B" w:rsidRDefault="00C1690B" w:rsidP="00C1690B">
      <w:pPr>
        <w:widowControl w:val="0"/>
        <w:autoSpaceDE w:val="0"/>
        <w:autoSpaceDN w:val="0"/>
        <w:adjustRightInd w:val="0"/>
        <w:ind w:left="2160" w:hanging="720"/>
      </w:pPr>
      <w:r>
        <w:t xml:space="preserve">Where: </w:t>
      </w:r>
    </w:p>
    <w:p w14:paraId="5F975E73" w14:textId="77777777" w:rsidR="00C20804" w:rsidRDefault="00C20804" w:rsidP="00AC7DC0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0" w:type="dxa"/>
        <w:tblLook w:val="0000" w:firstRow="0" w:lastRow="0" w:firstColumn="0" w:lastColumn="0" w:noHBand="0" w:noVBand="0"/>
      </w:tblPr>
      <w:tblGrid>
        <w:gridCol w:w="912"/>
        <w:gridCol w:w="236"/>
        <w:gridCol w:w="6268"/>
      </w:tblGrid>
      <w:tr w:rsidR="00C20804" w14:paraId="5C0D3277" w14:textId="77777777">
        <w:trPr>
          <w:trHeight w:val="693"/>
        </w:trPr>
        <w:tc>
          <w:tcPr>
            <w:tcW w:w="7416" w:type="dxa"/>
            <w:gridSpan w:val="3"/>
          </w:tcPr>
          <w:p w14:paraId="4D0F3911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proofErr w:type="spellStart"/>
            <w:r>
              <w:t>NOAEL</w:t>
            </w:r>
            <w:proofErr w:type="spellEnd"/>
            <w:r>
              <w:t xml:space="preserve"> is derived from mammalian or avian studies as specified in subsections (a) and (b), and is measured in units of milligrams of substance per kilogram of body weight per day (mg/kg-d); </w:t>
            </w:r>
          </w:p>
        </w:tc>
      </w:tr>
      <w:tr w:rsidR="00C20804" w14:paraId="6A0D56EC" w14:textId="77777777">
        <w:trPr>
          <w:trHeight w:val="405"/>
        </w:trPr>
        <w:tc>
          <w:tcPr>
            <w:tcW w:w="912" w:type="dxa"/>
          </w:tcPr>
          <w:p w14:paraId="0155F1A6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proofErr w:type="spellStart"/>
            <w:r>
              <w:t>Wt</w:t>
            </w:r>
            <w:proofErr w:type="spellEnd"/>
          </w:p>
        </w:tc>
        <w:tc>
          <w:tcPr>
            <w:tcW w:w="236" w:type="dxa"/>
          </w:tcPr>
          <w:p w14:paraId="59242ECA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6268" w:type="dxa"/>
          </w:tcPr>
          <w:p w14:paraId="5C23F225" w14:textId="77777777" w:rsidR="00C20804" w:rsidRDefault="00C20804" w:rsidP="00C20804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 xml:space="preserve">Average weight in kilograms (kg) of the test animals; </w:t>
            </w:r>
          </w:p>
        </w:tc>
      </w:tr>
      <w:tr w:rsidR="00C20804" w14:paraId="012DD045" w14:textId="77777777">
        <w:trPr>
          <w:trHeight w:val="387"/>
        </w:trPr>
        <w:tc>
          <w:tcPr>
            <w:tcW w:w="912" w:type="dxa"/>
          </w:tcPr>
          <w:p w14:paraId="1CCC81A4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W</w:t>
            </w:r>
          </w:p>
        </w:tc>
        <w:tc>
          <w:tcPr>
            <w:tcW w:w="236" w:type="dxa"/>
          </w:tcPr>
          <w:p w14:paraId="6C962540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6268" w:type="dxa"/>
          </w:tcPr>
          <w:p w14:paraId="571FFCB0" w14:textId="27951975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Average daily volume of water in liters consumed per day (</w:t>
            </w:r>
            <w:r w:rsidR="00B417EE">
              <w:t>L/d</w:t>
            </w:r>
            <w:r>
              <w:t>) by the test animals;</w:t>
            </w:r>
          </w:p>
        </w:tc>
      </w:tr>
      <w:tr w:rsidR="00C20804" w14:paraId="67536B08" w14:textId="77777777">
        <w:trPr>
          <w:trHeight w:val="648"/>
        </w:trPr>
        <w:tc>
          <w:tcPr>
            <w:tcW w:w="912" w:type="dxa"/>
          </w:tcPr>
          <w:p w14:paraId="559BA2DC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F</w:t>
            </w:r>
          </w:p>
        </w:tc>
        <w:tc>
          <w:tcPr>
            <w:tcW w:w="236" w:type="dxa"/>
          </w:tcPr>
          <w:p w14:paraId="4EC3A9D0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6268" w:type="dxa"/>
          </w:tcPr>
          <w:p w14:paraId="43567857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Average daily amount of food consumed by the test animals in kilograms (kg/d);</w:t>
            </w:r>
          </w:p>
        </w:tc>
      </w:tr>
      <w:tr w:rsidR="00C20804" w14:paraId="3DCEB6F5" w14:textId="77777777">
        <w:trPr>
          <w:trHeight w:val="912"/>
        </w:trPr>
        <w:tc>
          <w:tcPr>
            <w:tcW w:w="912" w:type="dxa"/>
          </w:tcPr>
          <w:p w14:paraId="063E126A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BCF</w:t>
            </w:r>
          </w:p>
        </w:tc>
        <w:tc>
          <w:tcPr>
            <w:tcW w:w="236" w:type="dxa"/>
          </w:tcPr>
          <w:p w14:paraId="16550D54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6268" w:type="dxa"/>
          </w:tcPr>
          <w:p w14:paraId="57ED186B" w14:textId="4D54DF52" w:rsidR="00C20804" w:rsidRDefault="00C20804" w:rsidP="00610C27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Aquatic life Bioconcentration Factor with units of liter per kilogram (L/kg), as derived in Sections 302.660 through 302.666; and</w:t>
            </w:r>
          </w:p>
        </w:tc>
      </w:tr>
      <w:tr w:rsidR="00C20804" w14:paraId="46C0548D" w14:textId="77777777">
        <w:trPr>
          <w:trHeight w:val="243"/>
        </w:trPr>
        <w:tc>
          <w:tcPr>
            <w:tcW w:w="7416" w:type="dxa"/>
            <w:gridSpan w:val="3"/>
          </w:tcPr>
          <w:p w14:paraId="3E4DB909" w14:textId="77777777" w:rsidR="00C20804" w:rsidRDefault="00C20804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The 0.1 represents an uncertainty factor to account for species variability.</w:t>
            </w:r>
          </w:p>
        </w:tc>
      </w:tr>
    </w:tbl>
    <w:p w14:paraId="5B788D99" w14:textId="77777777" w:rsidR="00C1690B" w:rsidRDefault="00C1690B" w:rsidP="00AC7DC0">
      <w:pPr>
        <w:widowControl w:val="0"/>
        <w:autoSpaceDE w:val="0"/>
        <w:autoSpaceDN w:val="0"/>
        <w:adjustRightInd w:val="0"/>
      </w:pPr>
    </w:p>
    <w:p w14:paraId="3ADD0165" w14:textId="77777777" w:rsidR="00C1690B" w:rsidRDefault="00C1690B" w:rsidP="00C1690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no studies pertaining to the toxic substance in question can be found by the Agency, no criterion can be determined. </w:t>
      </w:r>
    </w:p>
    <w:p w14:paraId="4B8B5F39" w14:textId="77777777" w:rsidR="00C1690B" w:rsidRDefault="00C1690B" w:rsidP="00AC7DC0">
      <w:pPr>
        <w:widowControl w:val="0"/>
        <w:autoSpaceDE w:val="0"/>
        <w:autoSpaceDN w:val="0"/>
        <w:adjustRightInd w:val="0"/>
      </w:pPr>
    </w:p>
    <w:p w14:paraId="3CD0FE40" w14:textId="33EE0884" w:rsidR="00C1690B" w:rsidRDefault="00610C27" w:rsidP="00C1690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36FDE">
        <w:t>7</w:t>
      </w:r>
      <w:r>
        <w:t xml:space="preserve"> Ill. Reg. </w:t>
      </w:r>
      <w:r w:rsidR="00EF5E10">
        <w:t>4437</w:t>
      </w:r>
      <w:r>
        <w:t xml:space="preserve">, effective </w:t>
      </w:r>
      <w:r w:rsidR="00EF5E10">
        <w:t>March 23, 2023</w:t>
      </w:r>
      <w:r>
        <w:t>)</w:t>
      </w:r>
    </w:p>
    <w:sectPr w:rsidR="00C1690B" w:rsidSect="00C16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90B"/>
    <w:rsid w:val="00136FDE"/>
    <w:rsid w:val="00552B4D"/>
    <w:rsid w:val="005C3366"/>
    <w:rsid w:val="00610C27"/>
    <w:rsid w:val="006E056A"/>
    <w:rsid w:val="0084642F"/>
    <w:rsid w:val="008A713B"/>
    <w:rsid w:val="009423B1"/>
    <w:rsid w:val="009F6891"/>
    <w:rsid w:val="00AC7DC0"/>
    <w:rsid w:val="00B417EE"/>
    <w:rsid w:val="00C1690B"/>
    <w:rsid w:val="00C20804"/>
    <w:rsid w:val="00E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980AAA"/>
  <w15:docId w15:val="{4E5AA8BF-C808-47C4-8291-0CA3BFBC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2023-04-07T22:53:00Z</dcterms:modified>
</cp:coreProperties>
</file>