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B979" w14:textId="77777777" w:rsidR="003C7C9B" w:rsidRDefault="003C7C9B" w:rsidP="003C7C9B">
      <w:pPr>
        <w:widowControl w:val="0"/>
        <w:autoSpaceDE w:val="0"/>
        <w:autoSpaceDN w:val="0"/>
        <w:adjustRightInd w:val="0"/>
      </w:pPr>
    </w:p>
    <w:p w14:paraId="64490D94" w14:textId="77777777" w:rsidR="003C7C9B" w:rsidRDefault="003C7C9B" w:rsidP="003C7C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302.612  Determining</w:t>
      </w:r>
      <w:proofErr w:type="gramEnd"/>
      <w:r>
        <w:rPr>
          <w:b/>
          <w:bCs/>
        </w:rPr>
        <w:t xml:space="preserve"> the Acute Aquatic Toxicity Criterion for an Individual Substance - General Procedures</w:t>
      </w:r>
      <w:r>
        <w:t xml:space="preserve"> </w:t>
      </w:r>
    </w:p>
    <w:p w14:paraId="619AD090" w14:textId="77777777" w:rsidR="003C7C9B" w:rsidRDefault="003C7C9B" w:rsidP="003C7C9B">
      <w:pPr>
        <w:widowControl w:val="0"/>
        <w:autoSpaceDE w:val="0"/>
        <w:autoSpaceDN w:val="0"/>
        <w:adjustRightInd w:val="0"/>
      </w:pPr>
    </w:p>
    <w:p w14:paraId="0B401070" w14:textId="1FCD0AF3" w:rsidR="003C7C9B" w:rsidRDefault="003C7C9B" w:rsidP="003C7C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7A6562">
        <w:t>chemical-specific</w:t>
      </w:r>
      <w:r>
        <w:t xml:space="preserve"> Acute Aquatic Toxicity Criterion (</w:t>
      </w:r>
      <w:proofErr w:type="spellStart"/>
      <w:r>
        <w:t>AATC</w:t>
      </w:r>
      <w:proofErr w:type="spellEnd"/>
      <w:r>
        <w:t>) is calculated using procedures specified in Sections 302.615 and 302.</w:t>
      </w:r>
      <w:r w:rsidR="0096101D">
        <w:t>618</w:t>
      </w:r>
      <w:r>
        <w:t xml:space="preserve"> if acute toxicity data are available for at least five resident or indigenous species from five different North American genera of freshwater organisms</w:t>
      </w:r>
      <w:r w:rsidR="007A6562">
        <w:t>,</w:t>
      </w:r>
      <w:r>
        <w:t xml:space="preserve"> including representatives of the following taxa:</w:t>
      </w:r>
    </w:p>
    <w:p w14:paraId="33C35049" w14:textId="77777777" w:rsidR="007758A5" w:rsidRDefault="007758A5" w:rsidP="0040227A">
      <w:pPr>
        <w:widowControl w:val="0"/>
        <w:autoSpaceDE w:val="0"/>
        <w:autoSpaceDN w:val="0"/>
        <w:adjustRightInd w:val="0"/>
      </w:pPr>
    </w:p>
    <w:p w14:paraId="66EBD1D1" w14:textId="1829CB4C" w:rsidR="003C7C9B" w:rsidRDefault="003C7C9B" w:rsidP="003C7C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Representatives of two families in the Class Osteichthyes (Bony </w:t>
      </w:r>
      <w:r w:rsidR="007A6562">
        <w:t>Fish</w:t>
      </w:r>
      <w:r>
        <w:t xml:space="preserve">). </w:t>
      </w:r>
    </w:p>
    <w:p w14:paraId="7FDD1BD5" w14:textId="77777777" w:rsidR="007758A5" w:rsidRDefault="007758A5" w:rsidP="0040227A">
      <w:pPr>
        <w:widowControl w:val="0"/>
        <w:autoSpaceDE w:val="0"/>
        <w:autoSpaceDN w:val="0"/>
        <w:adjustRightInd w:val="0"/>
      </w:pPr>
    </w:p>
    <w:p w14:paraId="6081C392" w14:textId="77777777" w:rsidR="003C7C9B" w:rsidRDefault="003C7C9B" w:rsidP="003C7C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family </w:t>
      </w:r>
      <w:proofErr w:type="spellStart"/>
      <w:r>
        <w:t>Daphnidae</w:t>
      </w:r>
      <w:proofErr w:type="spellEnd"/>
      <w:r>
        <w:t xml:space="preserve">. </w:t>
      </w:r>
    </w:p>
    <w:p w14:paraId="6D38A85B" w14:textId="77777777" w:rsidR="007758A5" w:rsidRDefault="007758A5" w:rsidP="0040227A">
      <w:pPr>
        <w:widowControl w:val="0"/>
        <w:autoSpaceDE w:val="0"/>
        <w:autoSpaceDN w:val="0"/>
        <w:adjustRightInd w:val="0"/>
      </w:pPr>
    </w:p>
    <w:p w14:paraId="319F8F9D" w14:textId="77777777" w:rsidR="003C7C9B" w:rsidRDefault="003C7C9B" w:rsidP="003C7C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benthic aquatic macroinvertebrate. </w:t>
      </w:r>
    </w:p>
    <w:p w14:paraId="51554AE2" w14:textId="77777777" w:rsidR="007758A5" w:rsidRDefault="007758A5" w:rsidP="0040227A">
      <w:pPr>
        <w:widowControl w:val="0"/>
        <w:autoSpaceDE w:val="0"/>
        <w:autoSpaceDN w:val="0"/>
        <w:adjustRightInd w:val="0"/>
      </w:pPr>
    </w:p>
    <w:p w14:paraId="50269991" w14:textId="1668DB42" w:rsidR="003C7C9B" w:rsidRDefault="003C7C9B" w:rsidP="003C7C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vascular aquatic plant or a third family in the Phylum Chordata </w:t>
      </w:r>
      <w:r w:rsidR="007A6562">
        <w:t>that</w:t>
      </w:r>
      <w:r>
        <w:t xml:space="preserve"> may be from the Class Osteichthyes. </w:t>
      </w:r>
    </w:p>
    <w:p w14:paraId="73DE24DE" w14:textId="77777777" w:rsidR="007758A5" w:rsidRDefault="007758A5" w:rsidP="0040227A">
      <w:pPr>
        <w:widowControl w:val="0"/>
        <w:autoSpaceDE w:val="0"/>
        <w:autoSpaceDN w:val="0"/>
        <w:adjustRightInd w:val="0"/>
      </w:pPr>
    </w:p>
    <w:p w14:paraId="2C3946A5" w14:textId="0BDE1E1B" w:rsidR="003C7C9B" w:rsidRDefault="003C7C9B" w:rsidP="003C7C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data are not available for resident or indigenous species, data for non-resident species may be used if the non-resident species is of the same family or genus and has a similar habitat and environmental tolerance. The procedures of Section 302.615 must be used to obtain an </w:t>
      </w:r>
      <w:proofErr w:type="spellStart"/>
      <w:r>
        <w:t>AATC</w:t>
      </w:r>
      <w:proofErr w:type="spellEnd"/>
      <w:r>
        <w:t xml:space="preserve"> for individual substances whose toxicity is unaffected by ambient water quality characteristics.  The procedures of Section 302.618 must be used if the toxicity of a substance is dependent upon some other water quality characteristic. </w:t>
      </w:r>
    </w:p>
    <w:p w14:paraId="2C57F44B" w14:textId="77777777" w:rsidR="007758A5" w:rsidRDefault="007758A5" w:rsidP="0040227A">
      <w:pPr>
        <w:widowControl w:val="0"/>
        <w:autoSpaceDE w:val="0"/>
        <w:autoSpaceDN w:val="0"/>
        <w:adjustRightInd w:val="0"/>
      </w:pPr>
    </w:p>
    <w:p w14:paraId="4543BE9B" w14:textId="63359DA4" w:rsidR="003C7C9B" w:rsidRDefault="003C7C9B" w:rsidP="003C7C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data are not available that meet the requirements of subsection (a), an </w:t>
      </w:r>
      <w:proofErr w:type="spellStart"/>
      <w:r>
        <w:t>AATC</w:t>
      </w:r>
      <w:proofErr w:type="spellEnd"/>
      <w:r>
        <w:t xml:space="preserve"> is calculated by obtaining at least one EC-50 or LC-50 value from both a daphnid species and either fathead minnow or bluegill.  If there are data available for any other North American freshwater species, they must also be included.  An </w:t>
      </w:r>
      <w:proofErr w:type="spellStart"/>
      <w:r>
        <w:t>AATC</w:t>
      </w:r>
      <w:proofErr w:type="spellEnd"/>
      <w:r>
        <w:t xml:space="preserve"> is calculated by dividing the lowest Species Mean Acute Value (</w:t>
      </w:r>
      <w:proofErr w:type="spellStart"/>
      <w:r>
        <w:t>SMAV</w:t>
      </w:r>
      <w:proofErr w:type="spellEnd"/>
      <w:r>
        <w:t xml:space="preserve">), as determined according to Section 302.615, by 10. </w:t>
      </w:r>
    </w:p>
    <w:p w14:paraId="52F42696" w14:textId="77777777" w:rsidR="003C7C9B" w:rsidRDefault="003C7C9B" w:rsidP="0040227A">
      <w:pPr>
        <w:widowControl w:val="0"/>
        <w:autoSpaceDE w:val="0"/>
        <w:autoSpaceDN w:val="0"/>
        <w:adjustRightInd w:val="0"/>
      </w:pPr>
    </w:p>
    <w:p w14:paraId="7B792001" w14:textId="48096EAC" w:rsidR="003C7C9B" w:rsidRDefault="0096101D" w:rsidP="003C7C9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A6562">
        <w:t>7</w:t>
      </w:r>
      <w:r>
        <w:t xml:space="preserve"> Ill. Reg. </w:t>
      </w:r>
      <w:r w:rsidR="00472356">
        <w:t>4437</w:t>
      </w:r>
      <w:r>
        <w:t xml:space="preserve">, effective </w:t>
      </w:r>
      <w:r w:rsidR="00472356">
        <w:t>March 23, 2023</w:t>
      </w:r>
      <w:r>
        <w:t>)</w:t>
      </w:r>
    </w:p>
    <w:sectPr w:rsidR="003C7C9B" w:rsidSect="003C7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C9B"/>
    <w:rsid w:val="003A32A8"/>
    <w:rsid w:val="003C7C9B"/>
    <w:rsid w:val="0040227A"/>
    <w:rsid w:val="00472356"/>
    <w:rsid w:val="005C3366"/>
    <w:rsid w:val="007758A5"/>
    <w:rsid w:val="007A6562"/>
    <w:rsid w:val="008D7BA8"/>
    <w:rsid w:val="0096101D"/>
    <w:rsid w:val="00A10B1B"/>
    <w:rsid w:val="00E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2D7014"/>
  <w15:docId w15:val="{65268793-A6FB-4DB8-9BE4-D709FD4A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2023-04-07T22:50:00Z</dcterms:modified>
</cp:coreProperties>
</file>