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CA" w:rsidRDefault="005724CA" w:rsidP="00572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4CA" w:rsidRDefault="005724CA" w:rsidP="005724CA">
      <w:pPr>
        <w:widowControl w:val="0"/>
        <w:autoSpaceDE w:val="0"/>
        <w:autoSpaceDN w:val="0"/>
        <w:adjustRightInd w:val="0"/>
        <w:jc w:val="center"/>
      </w:pPr>
      <w:r>
        <w:t>SUBPART F:  PROCEDURES FOR DETERMINING WATER QUALITY CRITERIA</w:t>
      </w:r>
    </w:p>
    <w:sectPr w:rsidR="005724CA" w:rsidSect="005724C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4CA"/>
    <w:rsid w:val="005724CA"/>
    <w:rsid w:val="00B70F0F"/>
    <w:rsid w:val="00C6347B"/>
    <w:rsid w:val="00DF69E9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PROCEDURES FOR DETERMINING WATER QUALITY CRITERIA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PROCEDURES FOR DETERMINING WATER QUALITY CRITERIA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