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782BC" w14:textId="77777777" w:rsidR="000E71A5" w:rsidRDefault="000E71A5" w:rsidP="001A793C">
      <w:pPr>
        <w:widowControl w:val="0"/>
        <w:autoSpaceDE w:val="0"/>
        <w:autoSpaceDN w:val="0"/>
        <w:adjustRightInd w:val="0"/>
        <w:rPr>
          <w:b/>
          <w:bCs/>
        </w:rPr>
      </w:pPr>
    </w:p>
    <w:p w14:paraId="4A8F26A9" w14:textId="77777777" w:rsidR="001A793C" w:rsidRDefault="001A793C" w:rsidP="001A793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302.575  Procedures</w:t>
      </w:r>
      <w:proofErr w:type="gramEnd"/>
      <w:r>
        <w:rPr>
          <w:b/>
          <w:bCs/>
        </w:rPr>
        <w:t xml:space="preserve"> for Deriving Tier I Water Quality Criteria and Values in the Lake Michigan Basin to Protect Wildlife</w:t>
      </w:r>
      <w:r>
        <w:t xml:space="preserve"> </w:t>
      </w:r>
    </w:p>
    <w:p w14:paraId="70CAFC5B" w14:textId="77777777" w:rsidR="001A793C" w:rsidRDefault="001A793C" w:rsidP="001A793C">
      <w:pPr>
        <w:widowControl w:val="0"/>
        <w:autoSpaceDE w:val="0"/>
        <w:autoSpaceDN w:val="0"/>
        <w:adjustRightInd w:val="0"/>
      </w:pPr>
    </w:p>
    <w:p w14:paraId="36401C88" w14:textId="219B1EB9" w:rsidR="001A793C" w:rsidRDefault="001A793C" w:rsidP="001A793C">
      <w:pPr>
        <w:widowControl w:val="0"/>
        <w:autoSpaceDE w:val="0"/>
        <w:autoSpaceDN w:val="0"/>
        <w:adjustRightInd w:val="0"/>
      </w:pPr>
      <w:r>
        <w:t>The Lake Michigan Basin Wildlife Criterion (</w:t>
      </w:r>
      <w:proofErr w:type="spellStart"/>
      <w:r>
        <w:t>LMWC</w:t>
      </w:r>
      <w:proofErr w:type="spellEnd"/>
      <w:r>
        <w:t xml:space="preserve">) is the concentration of a substance </w:t>
      </w:r>
      <w:r w:rsidR="00B87D19">
        <w:t>that,</w:t>
      </w:r>
      <w:r>
        <w:t xml:space="preserve"> if not exceeded</w:t>
      </w:r>
      <w:r w:rsidR="00B87D19">
        <w:t>,</w:t>
      </w:r>
      <w:r>
        <w:t xml:space="preserve"> protects Illinois wild mammal and bird populations from adverse effects resulting from </w:t>
      </w:r>
      <w:r w:rsidR="00491093">
        <w:t xml:space="preserve">the </w:t>
      </w:r>
      <w:r>
        <w:t xml:space="preserve">ingestion of surface waters of the Lake Michigan Basin </w:t>
      </w:r>
      <w:r w:rsidR="00B87D19">
        <w:t>or</w:t>
      </w:r>
      <w:r>
        <w:t xml:space="preserve"> aquatic prey organisms taken from surface waters of the Lake Michigan Basin.  Wildlife criteria calculated under th</w:t>
      </w:r>
      <w:r w:rsidR="009B06A6">
        <w:t>is Section protect against long-</w:t>
      </w:r>
      <w:r>
        <w:t xml:space="preserve">term effects and are therefore considered chronic criteria.  The methodology involves </w:t>
      </w:r>
      <w:r w:rsidR="00B87D19">
        <w:t>the use</w:t>
      </w:r>
      <w:r>
        <w:t xml:space="preserve"> of data from test animals to derive criteria to protect representative or target species:</w:t>
      </w:r>
      <w:r w:rsidR="00B87D19">
        <w:t xml:space="preserve"> </w:t>
      </w:r>
      <w:r>
        <w:t xml:space="preserve"> bald eagle, herring gull, belted kingfisher, mink</w:t>
      </w:r>
      <w:r w:rsidR="00B87D19">
        <w:t>,</w:t>
      </w:r>
      <w:r>
        <w:t xml:space="preserve"> and river otter.  The lower of the geometric mean of </w:t>
      </w:r>
      <w:r w:rsidR="00B87D19">
        <w:t>species-specific</w:t>
      </w:r>
      <w:r>
        <w:t xml:space="preserve"> criteria for bird species or mammal species is chosen as the </w:t>
      </w:r>
      <w:proofErr w:type="spellStart"/>
      <w:r>
        <w:t>LMWC</w:t>
      </w:r>
      <w:proofErr w:type="spellEnd"/>
      <w:r>
        <w:t xml:space="preserve"> to protect a broad range of species. </w:t>
      </w:r>
    </w:p>
    <w:p w14:paraId="54934F6B" w14:textId="77777777" w:rsidR="00C26C2B" w:rsidRDefault="00C26C2B" w:rsidP="001A793C">
      <w:pPr>
        <w:widowControl w:val="0"/>
        <w:autoSpaceDE w:val="0"/>
        <w:autoSpaceDN w:val="0"/>
        <w:adjustRightInd w:val="0"/>
      </w:pPr>
    </w:p>
    <w:p w14:paraId="325A96AF" w14:textId="56F66890" w:rsidR="001A793C" w:rsidRDefault="001A793C" w:rsidP="001A793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method </w:t>
      </w:r>
      <w:r w:rsidR="0012246E">
        <w:t>must</w:t>
      </w:r>
      <w:r>
        <w:t xml:space="preserve"> also be used for non-</w:t>
      </w:r>
      <w:proofErr w:type="spellStart"/>
      <w:r>
        <w:t>B</w:t>
      </w:r>
      <w:r w:rsidR="009B06A6">
        <w:t>C</w:t>
      </w:r>
      <w:r>
        <w:t>Cs</w:t>
      </w:r>
      <w:proofErr w:type="spellEnd"/>
      <w:r>
        <w:t xml:space="preserve"> when appropriately modified to consider the following factors: </w:t>
      </w:r>
    </w:p>
    <w:p w14:paraId="5853971B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19D8D75B" w14:textId="77777777" w:rsidR="001A793C" w:rsidRDefault="001A793C" w:rsidP="001A793C">
      <w:pPr>
        <w:widowControl w:val="0"/>
        <w:autoSpaceDE w:val="0"/>
        <w:autoSpaceDN w:val="0"/>
        <w:adjustRightInd w:val="0"/>
        <w:ind w:left="720" w:firstLine="720"/>
      </w:pPr>
      <w:r>
        <w:t>1)</w:t>
      </w:r>
      <w:r>
        <w:tab/>
        <w:t xml:space="preserve">Selection of scientifically justified target species; </w:t>
      </w:r>
    </w:p>
    <w:p w14:paraId="2ECA6ACB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266FB215" w14:textId="77777777" w:rsidR="001A793C" w:rsidRDefault="001A793C" w:rsidP="001A793C">
      <w:pPr>
        <w:widowControl w:val="0"/>
        <w:autoSpaceDE w:val="0"/>
        <w:autoSpaceDN w:val="0"/>
        <w:adjustRightInd w:val="0"/>
        <w:ind w:left="720" w:firstLine="720"/>
      </w:pPr>
      <w:r>
        <w:t>2)</w:t>
      </w:r>
      <w:r>
        <w:tab/>
        <w:t xml:space="preserve">Relevant routes of chemical exposure; </w:t>
      </w:r>
    </w:p>
    <w:p w14:paraId="260F9C48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3FEB4907" w14:textId="77777777" w:rsidR="001A793C" w:rsidRDefault="001A793C" w:rsidP="001A793C">
      <w:pPr>
        <w:widowControl w:val="0"/>
        <w:autoSpaceDE w:val="0"/>
        <w:autoSpaceDN w:val="0"/>
        <w:adjustRightInd w:val="0"/>
        <w:ind w:left="720" w:firstLine="720"/>
      </w:pPr>
      <w:r>
        <w:t>3)</w:t>
      </w:r>
      <w:r>
        <w:tab/>
        <w:t xml:space="preserve">Pertinent toxicity endpoints. </w:t>
      </w:r>
    </w:p>
    <w:p w14:paraId="405D6756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5A522741" w14:textId="46162F7C" w:rsidR="001A793C" w:rsidRDefault="001A793C" w:rsidP="001A793C">
      <w:pPr>
        <w:widowControl w:val="0"/>
        <w:autoSpaceDE w:val="0"/>
        <w:autoSpaceDN w:val="0"/>
        <w:adjustRightInd w:val="0"/>
        <w:ind w:firstLine="720"/>
      </w:pPr>
      <w:r>
        <w:t>b)</w:t>
      </w:r>
      <w:r>
        <w:tab/>
        <w:t xml:space="preserve">Minimum </w:t>
      </w:r>
      <w:r w:rsidR="00B87D19">
        <w:t>Data Requirements</w:t>
      </w:r>
      <w:r>
        <w:t xml:space="preserve"> </w:t>
      </w:r>
    </w:p>
    <w:p w14:paraId="1CB8E0BA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7B91F990" w14:textId="7AB555B2" w:rsidR="001A793C" w:rsidRDefault="001A793C" w:rsidP="001A79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Test </w:t>
      </w:r>
      <w:r w:rsidR="00B87D19">
        <w:t>Dose</w:t>
      </w:r>
      <w:r>
        <w:t xml:space="preserve"> (TD).  </w:t>
      </w:r>
      <w:r w:rsidR="00B87D19">
        <w:t>To</w:t>
      </w:r>
      <w:r>
        <w:t xml:space="preserve"> calculate </w:t>
      </w:r>
      <w:r w:rsidR="00B87D19">
        <w:t>an</w:t>
      </w:r>
      <w:r>
        <w:t xml:space="preserve"> </w:t>
      </w:r>
      <w:proofErr w:type="spellStart"/>
      <w:r>
        <w:t>LMWC</w:t>
      </w:r>
      <w:proofErr w:type="spellEnd"/>
      <w:r w:rsidR="00B87D19">
        <w:t>,</w:t>
      </w:r>
      <w:r>
        <w:t xml:space="preserve"> the following minimal </w:t>
      </w:r>
      <w:r w:rsidR="00B87D19">
        <w:t>database</w:t>
      </w:r>
      <w:r>
        <w:t xml:space="preserve"> is required: </w:t>
      </w:r>
    </w:p>
    <w:p w14:paraId="2A1FF9C8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27BE39DC" w14:textId="77777777" w:rsidR="001A793C" w:rsidRDefault="001A793C" w:rsidP="001A793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There must be at least one data set showing dose-response for oral, </w:t>
      </w:r>
      <w:proofErr w:type="spellStart"/>
      <w:r>
        <w:t>subchronic</w:t>
      </w:r>
      <w:proofErr w:type="spellEnd"/>
      <w:r>
        <w:t xml:space="preserve">, or chronic exposure of 28 days for one bird species; and </w:t>
      </w:r>
    </w:p>
    <w:p w14:paraId="47BE7C59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71B52A7C" w14:textId="77777777" w:rsidR="001A793C" w:rsidRDefault="001A793C" w:rsidP="001A793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There must be at least one data set showing dose-response for oral, </w:t>
      </w:r>
      <w:proofErr w:type="spellStart"/>
      <w:r>
        <w:t>subchronic</w:t>
      </w:r>
      <w:proofErr w:type="spellEnd"/>
      <w:r>
        <w:t xml:space="preserve">, or chronic exposure of 90 days for one mammal species. </w:t>
      </w:r>
    </w:p>
    <w:p w14:paraId="4E2BD42D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0277A961" w14:textId="19A57871" w:rsidR="001A793C" w:rsidRDefault="001A793C" w:rsidP="00B87D19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Bioaccumulation Factor (</w:t>
      </w:r>
      <w:proofErr w:type="spellStart"/>
      <w:r>
        <w:t>BAF</w:t>
      </w:r>
      <w:proofErr w:type="spellEnd"/>
      <w:r>
        <w:t xml:space="preserve">) </w:t>
      </w:r>
      <w:r w:rsidR="00B87D19">
        <w:t>Data Requirements</w:t>
      </w:r>
    </w:p>
    <w:p w14:paraId="43A99859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5C466B52" w14:textId="61012749" w:rsidR="001A793C" w:rsidRDefault="001A793C" w:rsidP="001A793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For any chemical with a </w:t>
      </w:r>
      <w:proofErr w:type="spellStart"/>
      <w:r>
        <w:t>BAF</w:t>
      </w:r>
      <w:proofErr w:type="spellEnd"/>
      <w:r>
        <w:t xml:space="preserve"> of less than 125</w:t>
      </w:r>
      <w:r w:rsidR="00B87D19">
        <w:t>,</w:t>
      </w:r>
      <w:r>
        <w:t xml:space="preserve"> the </w:t>
      </w:r>
      <w:proofErr w:type="spellStart"/>
      <w:r>
        <w:t>BAF</w:t>
      </w:r>
      <w:proofErr w:type="spellEnd"/>
      <w:r>
        <w:t xml:space="preserve"> may be obtained by any method; and </w:t>
      </w:r>
    </w:p>
    <w:p w14:paraId="1490033B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73D8AB1F" w14:textId="044D0C24" w:rsidR="001A793C" w:rsidRDefault="001A793C" w:rsidP="001A793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For chemicals with a </w:t>
      </w:r>
      <w:proofErr w:type="spellStart"/>
      <w:r>
        <w:t>BAF</w:t>
      </w:r>
      <w:proofErr w:type="spellEnd"/>
      <w:r>
        <w:t xml:space="preserve"> of greater than 125</w:t>
      </w:r>
      <w:r w:rsidR="00B87D19">
        <w:t>,</w:t>
      </w:r>
      <w:r>
        <w:t xml:space="preserve"> the </w:t>
      </w:r>
      <w:proofErr w:type="spellStart"/>
      <w:r>
        <w:t>BAF</w:t>
      </w:r>
      <w:proofErr w:type="spellEnd"/>
      <w:r>
        <w:t xml:space="preserve"> must come from a field measured</w:t>
      </w:r>
      <w:r w:rsidR="00A84345">
        <w:t xml:space="preserve"> </w:t>
      </w:r>
      <w:proofErr w:type="spellStart"/>
      <w:r>
        <w:t>BAF</w:t>
      </w:r>
      <w:proofErr w:type="spellEnd"/>
      <w:r>
        <w:t xml:space="preserve"> or </w:t>
      </w:r>
      <w:r w:rsidR="001C66D0">
        <w:t>Biota-Sediment Accumulation Factor (</w:t>
      </w:r>
      <w:proofErr w:type="spellStart"/>
      <w:r w:rsidR="001C66D0">
        <w:t>BSAF</w:t>
      </w:r>
      <w:proofErr w:type="spellEnd"/>
      <w:r w:rsidR="001C66D0">
        <w:t>)</w:t>
      </w:r>
      <w:r>
        <w:t xml:space="preserve">. </w:t>
      </w:r>
    </w:p>
    <w:p w14:paraId="5A29C968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10209272" w14:textId="7C0A3461" w:rsidR="001A793C" w:rsidRDefault="001A793C" w:rsidP="001A793C">
      <w:pPr>
        <w:widowControl w:val="0"/>
        <w:autoSpaceDE w:val="0"/>
        <w:autoSpaceDN w:val="0"/>
        <w:adjustRightInd w:val="0"/>
        <w:ind w:firstLine="720"/>
      </w:pPr>
      <w:r>
        <w:lastRenderedPageBreak/>
        <w:t>c)</w:t>
      </w:r>
      <w:r>
        <w:tab/>
        <w:t xml:space="preserve">Principles for </w:t>
      </w:r>
      <w:r w:rsidR="00B87D19">
        <w:t>Developing Criteria</w:t>
      </w:r>
      <w:r>
        <w:t xml:space="preserve"> </w:t>
      </w:r>
    </w:p>
    <w:p w14:paraId="4C9ED5F6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04832134" w14:textId="42ED279C" w:rsidR="001A793C" w:rsidRDefault="001A793C" w:rsidP="001A793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Dose </w:t>
      </w:r>
      <w:r w:rsidR="00B87D19">
        <w:t>Standardization</w:t>
      </w:r>
      <w:r>
        <w:t xml:space="preserve">.  The data for the test species must be expressed as, or converted to, the form mg/kg/d utilizing the guidelines for drinking and feeding rates and other procedures in 40 CFR 132, incorporated by reference </w:t>
      </w:r>
      <w:r w:rsidR="005151E9">
        <w:t xml:space="preserve">in </w:t>
      </w:r>
      <w:r w:rsidR="0012246E">
        <w:t>35 Ill. Adm. Code 301.106</w:t>
      </w:r>
      <w:r>
        <w:t xml:space="preserve">. </w:t>
      </w:r>
    </w:p>
    <w:p w14:paraId="359D6B68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732E525D" w14:textId="77777777" w:rsidR="001A793C" w:rsidRDefault="001A793C" w:rsidP="001A793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Uncertainty factors (</w:t>
      </w:r>
      <w:proofErr w:type="spellStart"/>
      <w:r>
        <w:t>UF</w:t>
      </w:r>
      <w:proofErr w:type="spellEnd"/>
      <w:r>
        <w:t>) for utilizing test dose data in the calculation of the target species value (TSV)</w:t>
      </w:r>
      <w:r w:rsidR="005151E9">
        <w:t>;</w:t>
      </w:r>
      <w:r>
        <w:t xml:space="preserve"> </w:t>
      </w:r>
    </w:p>
    <w:p w14:paraId="531AB4F7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429D593F" w14:textId="1F156BA8" w:rsidR="001A793C" w:rsidRDefault="001A793C" w:rsidP="001A793C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Correction for </w:t>
      </w:r>
      <w:r w:rsidR="00B87D19">
        <w:t>Intermittent Exposure</w:t>
      </w:r>
      <w:r>
        <w:t>.  If the animals used in a study were not exposed to the toxicant each day of the test period, the no observed adverse effect level (</w:t>
      </w:r>
      <w:proofErr w:type="spellStart"/>
      <w:r>
        <w:t>NOAEL</w:t>
      </w:r>
      <w:proofErr w:type="spellEnd"/>
      <w:r>
        <w:t xml:space="preserve">) must be multiplied by the ratio of days of exposure to the total days in the test period. </w:t>
      </w:r>
    </w:p>
    <w:p w14:paraId="2975A6D8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218E87F5" w14:textId="27DDE2C4" w:rsidR="001A793C" w:rsidRDefault="001A793C" w:rsidP="001A793C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Correction from the </w:t>
      </w:r>
      <w:r w:rsidR="00B87D19">
        <w:t>Lowest Observed Adverse Effect Level</w:t>
      </w:r>
      <w:r>
        <w:t xml:space="preserve"> (</w:t>
      </w:r>
      <w:proofErr w:type="spellStart"/>
      <w:r>
        <w:t>LOAEL</w:t>
      </w:r>
      <w:proofErr w:type="spellEnd"/>
      <w:r>
        <w:t xml:space="preserve">) to </w:t>
      </w:r>
      <w:proofErr w:type="spellStart"/>
      <w:r>
        <w:t>NOAEL</w:t>
      </w:r>
      <w:proofErr w:type="spellEnd"/>
      <w:r>
        <w:t xml:space="preserve"> (</w:t>
      </w:r>
      <w:proofErr w:type="spellStart"/>
      <w:r>
        <w:t>UF</w:t>
      </w:r>
      <w:r>
        <w:rPr>
          <w:vertAlign w:val="subscript"/>
        </w:rPr>
        <w:t>1</w:t>
      </w:r>
      <w:proofErr w:type="spellEnd"/>
      <w:r>
        <w:t xml:space="preserve">).  For those substances for which a </w:t>
      </w:r>
      <w:proofErr w:type="spellStart"/>
      <w:r>
        <w:t>LOAEL</w:t>
      </w:r>
      <w:proofErr w:type="spellEnd"/>
      <w:r>
        <w:t xml:space="preserve"> has been derived, the </w:t>
      </w:r>
      <w:proofErr w:type="spellStart"/>
      <w:r w:rsidRPr="006F296B">
        <w:t>UF</w:t>
      </w:r>
      <w:r>
        <w:rPr>
          <w:vertAlign w:val="subscript"/>
        </w:rPr>
        <w:t>1</w:t>
      </w:r>
      <w:proofErr w:type="spellEnd"/>
      <w:r>
        <w:rPr>
          <w:vertAlign w:val="subscript"/>
        </w:rPr>
        <w:t xml:space="preserve"> </w:t>
      </w:r>
      <w:r w:rsidR="0012246E" w:rsidRPr="0012246E">
        <w:t>must</w:t>
      </w:r>
      <w:r>
        <w:t xml:space="preserve"> not be less than one and should not exceed 10. </w:t>
      </w:r>
    </w:p>
    <w:p w14:paraId="74029386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21E26D7F" w14:textId="7608DFE7" w:rsidR="001A793C" w:rsidRDefault="001A793C" w:rsidP="001A793C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Correction for </w:t>
      </w:r>
      <w:proofErr w:type="spellStart"/>
      <w:r w:rsidR="004B397A">
        <w:t>Subchronic</w:t>
      </w:r>
      <w:proofErr w:type="spellEnd"/>
      <w:r w:rsidR="004B397A">
        <w:t xml:space="preserve"> to Chronic Extrapolation</w:t>
      </w:r>
      <w:r>
        <w:t xml:space="preserve"> (</w:t>
      </w:r>
      <w:proofErr w:type="spellStart"/>
      <w:r>
        <w:t>UF</w:t>
      </w:r>
      <w:r>
        <w:rPr>
          <w:vertAlign w:val="subscript"/>
        </w:rPr>
        <w:t>s</w:t>
      </w:r>
      <w:proofErr w:type="spellEnd"/>
      <w:r>
        <w:t xml:space="preserve">).  In instances where only </w:t>
      </w:r>
      <w:proofErr w:type="spellStart"/>
      <w:r>
        <w:t>subchronic</w:t>
      </w:r>
      <w:proofErr w:type="spellEnd"/>
      <w:r>
        <w:t xml:space="preserve"> data are available, the TD may be derived from </w:t>
      </w:r>
      <w:proofErr w:type="spellStart"/>
      <w:r>
        <w:t>subchronic</w:t>
      </w:r>
      <w:proofErr w:type="spellEnd"/>
      <w:r>
        <w:t xml:space="preserve"> data.  The value of the </w:t>
      </w:r>
      <w:proofErr w:type="spellStart"/>
      <w:r>
        <w:t>UF</w:t>
      </w:r>
      <w:r>
        <w:rPr>
          <w:vertAlign w:val="subscript"/>
        </w:rPr>
        <w:t>s</w:t>
      </w:r>
      <w:proofErr w:type="spellEnd"/>
      <w:r>
        <w:t xml:space="preserve"> </w:t>
      </w:r>
      <w:r w:rsidR="0012246E">
        <w:t>must</w:t>
      </w:r>
      <w:r>
        <w:t xml:space="preserve"> not be less than one and should not exceed 10. </w:t>
      </w:r>
    </w:p>
    <w:p w14:paraId="068F77AF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48EF202F" w14:textId="361F2CA0" w:rsidR="001A793C" w:rsidRDefault="001A793C" w:rsidP="001A793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Correction for </w:t>
      </w:r>
      <w:r w:rsidR="004B397A">
        <w:t>Interspecies Extrapolations</w:t>
      </w:r>
      <w:r>
        <w:t xml:space="preserve"> (</w:t>
      </w:r>
      <w:proofErr w:type="spellStart"/>
      <w:r>
        <w:t>UF</w:t>
      </w:r>
      <w:r>
        <w:rPr>
          <w:vertAlign w:val="subscript"/>
        </w:rPr>
        <w:t>a</w:t>
      </w:r>
      <w:proofErr w:type="spellEnd"/>
      <w:r>
        <w:t xml:space="preserve">).  For the derivation of criteria, a </w:t>
      </w:r>
      <w:proofErr w:type="spellStart"/>
      <w:r>
        <w:t>UF</w:t>
      </w:r>
      <w:r>
        <w:rPr>
          <w:vertAlign w:val="subscript"/>
        </w:rPr>
        <w:t>a</w:t>
      </w:r>
      <w:proofErr w:type="spellEnd"/>
      <w:r>
        <w:t xml:space="preserve"> </w:t>
      </w:r>
      <w:r w:rsidR="0012246E">
        <w:t>must</w:t>
      </w:r>
      <w:r>
        <w:t xml:space="preserve"> not be less than one and should not exceed 100.  The </w:t>
      </w:r>
      <w:proofErr w:type="spellStart"/>
      <w:r>
        <w:t>UF</w:t>
      </w:r>
      <w:r>
        <w:rPr>
          <w:vertAlign w:val="subscript"/>
        </w:rPr>
        <w:t>a</w:t>
      </w:r>
      <w:proofErr w:type="spellEnd"/>
      <w:r>
        <w:t xml:space="preserve"> </w:t>
      </w:r>
      <w:r w:rsidR="0012246E">
        <w:t>must</w:t>
      </w:r>
      <w:r>
        <w:t xml:space="preserve"> be used only for extrapolating toxicity data across species within a taxonomic class.  A </w:t>
      </w:r>
      <w:r w:rsidR="004B397A">
        <w:t>species-specific</w:t>
      </w:r>
      <w:r>
        <w:t xml:space="preserve"> </w:t>
      </w:r>
      <w:proofErr w:type="spellStart"/>
      <w:r>
        <w:t>UF</w:t>
      </w:r>
      <w:r>
        <w:rPr>
          <w:vertAlign w:val="subscript"/>
        </w:rPr>
        <w:t>a</w:t>
      </w:r>
      <w:proofErr w:type="spellEnd"/>
      <w:r>
        <w:t xml:space="preserve"> </w:t>
      </w:r>
      <w:r w:rsidR="0012246E">
        <w:t>must</w:t>
      </w:r>
      <w:r>
        <w:t xml:space="preserve"> be selected and applied to each target species, consistent with the equation</w:t>
      </w:r>
      <w:r w:rsidR="00A84345">
        <w:t xml:space="preserve"> in subsection (d)</w:t>
      </w:r>
      <w:r>
        <w:t xml:space="preserve">. </w:t>
      </w:r>
    </w:p>
    <w:p w14:paraId="18B279FA" w14:textId="77777777" w:rsidR="00C26C2B" w:rsidRDefault="00C26C2B" w:rsidP="00D037A6">
      <w:pPr>
        <w:widowControl w:val="0"/>
        <w:autoSpaceDE w:val="0"/>
        <w:autoSpaceDN w:val="0"/>
        <w:adjustRightInd w:val="0"/>
      </w:pPr>
    </w:p>
    <w:p w14:paraId="11FE2990" w14:textId="77777777" w:rsidR="001A793C" w:rsidRDefault="001A793C" w:rsidP="001A793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Calculation of TSV.  The TSV, measured in milligrams per liter (mg/L), is calculated according to the equation: </w:t>
      </w:r>
    </w:p>
    <w:p w14:paraId="5E8D4690" w14:textId="77777777" w:rsidR="001A793C" w:rsidRDefault="001A793C" w:rsidP="001A793C">
      <w:pPr>
        <w:widowControl w:val="0"/>
        <w:autoSpaceDE w:val="0"/>
        <w:autoSpaceDN w:val="0"/>
        <w:adjustRightInd w:val="0"/>
      </w:pPr>
    </w:p>
    <w:p w14:paraId="6CD8E690" w14:textId="50373ABF" w:rsidR="001A793C" w:rsidRDefault="001A793C" w:rsidP="001A793C">
      <w:pPr>
        <w:widowControl w:val="0"/>
        <w:autoSpaceDE w:val="0"/>
        <w:autoSpaceDN w:val="0"/>
        <w:adjustRightInd w:val="0"/>
        <w:ind w:left="1440"/>
      </w:pPr>
      <w:r>
        <w:t xml:space="preserve">TSV = {[TD x </w:t>
      </w:r>
      <w:proofErr w:type="spellStart"/>
      <w:r>
        <w:t>Wt</w:t>
      </w:r>
      <w:proofErr w:type="spellEnd"/>
      <w:r>
        <w:t>] / [</w:t>
      </w:r>
      <w:proofErr w:type="spellStart"/>
      <w:r>
        <w:t>UF</w:t>
      </w:r>
      <w:r>
        <w:rPr>
          <w:vertAlign w:val="subscript"/>
        </w:rPr>
        <w:t>a</w:t>
      </w:r>
      <w:proofErr w:type="spellEnd"/>
      <w:r>
        <w:t xml:space="preserve"> x </w:t>
      </w:r>
      <w:proofErr w:type="spellStart"/>
      <w:r>
        <w:t>UF</w:t>
      </w:r>
      <w:r w:rsidRPr="006F296B">
        <w:rPr>
          <w:vertAlign w:val="subscript"/>
        </w:rPr>
        <w:t>s</w:t>
      </w:r>
      <w:proofErr w:type="spellEnd"/>
      <w:r>
        <w:t xml:space="preserve"> x </w:t>
      </w:r>
      <w:proofErr w:type="spellStart"/>
      <w:r>
        <w:t>UF</w:t>
      </w:r>
      <w:r>
        <w:rPr>
          <w:vertAlign w:val="subscript"/>
        </w:rPr>
        <w:t>1</w:t>
      </w:r>
      <w:proofErr w:type="spellEnd"/>
      <w:proofErr w:type="gramStart"/>
      <w:r>
        <w:t xml:space="preserve">]}   </w:t>
      </w:r>
      <w:proofErr w:type="gramEnd"/>
      <w:r>
        <w:t xml:space="preserve">/   {W + </w:t>
      </w:r>
      <w:r w:rsidRPr="00283EC7">
        <w:t>Σ</w:t>
      </w:r>
      <w:r>
        <w:t>[</w:t>
      </w:r>
      <w:proofErr w:type="spellStart"/>
      <w:r>
        <w:t>F</w:t>
      </w:r>
      <w:r>
        <w:rPr>
          <w:vertAlign w:val="subscript"/>
        </w:rPr>
        <w:t>TLi</w:t>
      </w:r>
      <w:proofErr w:type="spellEnd"/>
      <w:r>
        <w:t xml:space="preserve"> x </w:t>
      </w:r>
      <w:proofErr w:type="spellStart"/>
      <w:r>
        <w:t>BAF</w:t>
      </w:r>
      <w:r>
        <w:rPr>
          <w:vertAlign w:val="subscript"/>
        </w:rPr>
        <w:t>WLTLi</w:t>
      </w:r>
      <w:proofErr w:type="spellEnd"/>
      <w:r>
        <w:t>]}</w:t>
      </w:r>
    </w:p>
    <w:p w14:paraId="581223DD" w14:textId="77777777" w:rsidR="001A793C" w:rsidRDefault="001A793C" w:rsidP="001A793C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17" w:type="dxa"/>
        <w:tblLook w:val="01E0" w:firstRow="1" w:lastRow="1" w:firstColumn="1" w:lastColumn="1" w:noHBand="0" w:noVBand="0"/>
      </w:tblPr>
      <w:tblGrid>
        <w:gridCol w:w="152"/>
        <w:gridCol w:w="1172"/>
        <w:gridCol w:w="370"/>
        <w:gridCol w:w="5745"/>
      </w:tblGrid>
      <w:tr w:rsidR="001A793C" w14:paraId="40210D62" w14:textId="77777777">
        <w:tc>
          <w:tcPr>
            <w:tcW w:w="1122" w:type="dxa"/>
            <w:gridSpan w:val="2"/>
          </w:tcPr>
          <w:p w14:paraId="4AF6B15F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 xml:space="preserve">Where:  </w:t>
            </w:r>
          </w:p>
        </w:tc>
        <w:tc>
          <w:tcPr>
            <w:tcW w:w="374" w:type="dxa"/>
          </w:tcPr>
          <w:p w14:paraId="74FF6C6A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63" w:type="dxa"/>
          </w:tcPr>
          <w:p w14:paraId="05EF15B9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793C" w14:paraId="22AE8618" w14:textId="77777777">
        <w:tc>
          <w:tcPr>
            <w:tcW w:w="1122" w:type="dxa"/>
            <w:gridSpan w:val="2"/>
          </w:tcPr>
          <w:p w14:paraId="4F0B44C3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74" w:type="dxa"/>
          </w:tcPr>
          <w:p w14:paraId="7E59D6B6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6663" w:type="dxa"/>
          </w:tcPr>
          <w:p w14:paraId="578EF735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1A793C" w14:paraId="37C3704B" w14:textId="77777777">
        <w:trPr>
          <w:gridBefore w:val="1"/>
          <w:wBefore w:w="187" w:type="dxa"/>
        </w:trPr>
        <w:tc>
          <w:tcPr>
            <w:tcW w:w="935" w:type="dxa"/>
          </w:tcPr>
          <w:p w14:paraId="1C5B1865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 xml:space="preserve">TSV </w:t>
            </w:r>
          </w:p>
        </w:tc>
        <w:tc>
          <w:tcPr>
            <w:tcW w:w="374" w:type="dxa"/>
          </w:tcPr>
          <w:p w14:paraId="6DC38DB7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663" w:type="dxa"/>
          </w:tcPr>
          <w:p w14:paraId="02209A13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 xml:space="preserve">target species value in milligrams of substance per liter (mg/L). </w:t>
            </w:r>
          </w:p>
        </w:tc>
      </w:tr>
      <w:tr w:rsidR="001A793C" w14:paraId="43BA55F4" w14:textId="77777777">
        <w:trPr>
          <w:gridBefore w:val="1"/>
          <w:wBefore w:w="187" w:type="dxa"/>
        </w:trPr>
        <w:tc>
          <w:tcPr>
            <w:tcW w:w="935" w:type="dxa"/>
          </w:tcPr>
          <w:p w14:paraId="5FB7B939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>TD</w:t>
            </w:r>
          </w:p>
        </w:tc>
        <w:tc>
          <w:tcPr>
            <w:tcW w:w="374" w:type="dxa"/>
          </w:tcPr>
          <w:p w14:paraId="2649B798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663" w:type="dxa"/>
          </w:tcPr>
          <w:p w14:paraId="75150DAB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 xml:space="preserve">test dose that is toxic to the test species, either </w:t>
            </w:r>
            <w:proofErr w:type="spellStart"/>
            <w:r>
              <w:t>NOAEL</w:t>
            </w:r>
            <w:proofErr w:type="spellEnd"/>
            <w:r>
              <w:t xml:space="preserve"> or </w:t>
            </w:r>
            <w:proofErr w:type="spellStart"/>
            <w:r>
              <w:t>LOAEL</w:t>
            </w:r>
            <w:proofErr w:type="spellEnd"/>
            <w:r>
              <w:t>.</w:t>
            </w:r>
          </w:p>
        </w:tc>
      </w:tr>
      <w:tr w:rsidR="001A793C" w14:paraId="5D9A6555" w14:textId="77777777">
        <w:trPr>
          <w:gridBefore w:val="1"/>
          <w:wBefore w:w="187" w:type="dxa"/>
        </w:trPr>
        <w:tc>
          <w:tcPr>
            <w:tcW w:w="935" w:type="dxa"/>
          </w:tcPr>
          <w:p w14:paraId="5E803CCB" w14:textId="77777777" w:rsidR="001A793C" w:rsidRPr="00EB2693" w:rsidRDefault="001A793C" w:rsidP="001A793C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proofErr w:type="spellStart"/>
            <w:r>
              <w:lastRenderedPageBreak/>
              <w:t>UF</w:t>
            </w:r>
            <w:r>
              <w:rPr>
                <w:vertAlign w:val="subscript"/>
              </w:rPr>
              <w:t>a</w:t>
            </w:r>
            <w:proofErr w:type="spellEnd"/>
          </w:p>
        </w:tc>
        <w:tc>
          <w:tcPr>
            <w:tcW w:w="374" w:type="dxa"/>
          </w:tcPr>
          <w:p w14:paraId="78A918B3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663" w:type="dxa"/>
          </w:tcPr>
          <w:p w14:paraId="0A258CE2" w14:textId="64FFC912" w:rsidR="001A793C" w:rsidRDefault="001A793C" w:rsidP="00CF4564">
            <w:pPr>
              <w:widowControl w:val="0"/>
              <w:autoSpaceDE w:val="0"/>
              <w:autoSpaceDN w:val="0"/>
              <w:adjustRightInd w:val="0"/>
            </w:pPr>
            <w:r>
              <w:t xml:space="preserve">the uncertainty factor for extrapolating toxicity data across species (unitless).  A species-specific </w:t>
            </w:r>
            <w:proofErr w:type="spellStart"/>
            <w:r>
              <w:t>UF</w:t>
            </w:r>
            <w:r w:rsidRPr="00841C4D">
              <w:rPr>
                <w:vertAlign w:val="subscript"/>
              </w:rPr>
              <w:t>a</w:t>
            </w:r>
            <w:proofErr w:type="spellEnd"/>
            <w:r>
              <w:t xml:space="preserve"> </w:t>
            </w:r>
            <w:r w:rsidR="00CF4564">
              <w:t>must</w:t>
            </w:r>
            <w:r>
              <w:t xml:space="preserve"> be selected and applied to each target species, consistent with the equation</w:t>
            </w:r>
            <w:r w:rsidR="00716862">
              <w:t>.</w:t>
            </w:r>
          </w:p>
        </w:tc>
      </w:tr>
      <w:tr w:rsidR="001A793C" w14:paraId="30E1C5F0" w14:textId="77777777">
        <w:trPr>
          <w:gridBefore w:val="1"/>
          <w:wBefore w:w="187" w:type="dxa"/>
        </w:trPr>
        <w:tc>
          <w:tcPr>
            <w:tcW w:w="935" w:type="dxa"/>
          </w:tcPr>
          <w:p w14:paraId="072E66AB" w14:textId="77777777" w:rsidR="001A793C" w:rsidRPr="00EB2693" w:rsidRDefault="001A793C" w:rsidP="001A793C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proofErr w:type="spellStart"/>
            <w:r>
              <w:t>Uf</w:t>
            </w:r>
            <w:r>
              <w:rPr>
                <w:vertAlign w:val="subscript"/>
              </w:rPr>
              <w:t>s</w:t>
            </w:r>
            <w:proofErr w:type="spellEnd"/>
          </w:p>
        </w:tc>
        <w:tc>
          <w:tcPr>
            <w:tcW w:w="374" w:type="dxa"/>
          </w:tcPr>
          <w:p w14:paraId="1A255A1B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663" w:type="dxa"/>
          </w:tcPr>
          <w:p w14:paraId="25FE8930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 xml:space="preserve">the uncertainty factor for extrapolating from </w:t>
            </w:r>
            <w:proofErr w:type="spellStart"/>
            <w:r>
              <w:t>subchronic</w:t>
            </w:r>
            <w:proofErr w:type="spellEnd"/>
            <w:r>
              <w:t xml:space="preserve"> to chronic exposures (unitless)</w:t>
            </w:r>
            <w:r w:rsidR="001C66D0">
              <w:t>.</w:t>
            </w:r>
          </w:p>
        </w:tc>
      </w:tr>
      <w:tr w:rsidR="001A793C" w14:paraId="2527D0BE" w14:textId="77777777">
        <w:trPr>
          <w:gridBefore w:val="1"/>
          <w:wBefore w:w="187" w:type="dxa"/>
        </w:trPr>
        <w:tc>
          <w:tcPr>
            <w:tcW w:w="935" w:type="dxa"/>
          </w:tcPr>
          <w:p w14:paraId="6073574F" w14:textId="77777777" w:rsidR="001A793C" w:rsidRPr="00EB2693" w:rsidRDefault="001A793C" w:rsidP="001A793C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proofErr w:type="spellStart"/>
            <w:r>
              <w:t>Uf</w:t>
            </w:r>
            <w:r>
              <w:rPr>
                <w:vertAlign w:val="subscript"/>
              </w:rPr>
              <w:t>1</w:t>
            </w:r>
            <w:proofErr w:type="spellEnd"/>
          </w:p>
        </w:tc>
        <w:tc>
          <w:tcPr>
            <w:tcW w:w="374" w:type="dxa"/>
          </w:tcPr>
          <w:p w14:paraId="43E96AB5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663" w:type="dxa"/>
          </w:tcPr>
          <w:p w14:paraId="6CAF8901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 xml:space="preserve">the uncertainty factor for extrapolation from </w:t>
            </w:r>
            <w:proofErr w:type="spellStart"/>
            <w:r>
              <w:t>LOAEL</w:t>
            </w:r>
            <w:proofErr w:type="spellEnd"/>
            <w:r>
              <w:t xml:space="preserve"> to </w:t>
            </w:r>
            <w:proofErr w:type="spellStart"/>
            <w:r>
              <w:t>NOAEL</w:t>
            </w:r>
            <w:proofErr w:type="spellEnd"/>
            <w:r>
              <w:t xml:space="preserve"> (unitless)</w:t>
            </w:r>
            <w:r w:rsidR="001C66D0">
              <w:t>.</w:t>
            </w:r>
          </w:p>
        </w:tc>
      </w:tr>
      <w:tr w:rsidR="001A793C" w14:paraId="16B2192F" w14:textId="77777777">
        <w:trPr>
          <w:gridBefore w:val="1"/>
          <w:wBefore w:w="187" w:type="dxa"/>
        </w:trPr>
        <w:tc>
          <w:tcPr>
            <w:tcW w:w="935" w:type="dxa"/>
          </w:tcPr>
          <w:p w14:paraId="037FD9BA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Wt</w:t>
            </w:r>
            <w:proofErr w:type="spellEnd"/>
          </w:p>
        </w:tc>
        <w:tc>
          <w:tcPr>
            <w:tcW w:w="374" w:type="dxa"/>
          </w:tcPr>
          <w:p w14:paraId="5AD059BC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663" w:type="dxa"/>
          </w:tcPr>
          <w:p w14:paraId="060F5EBC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>average weight in kilograms (kg) of the target species</w:t>
            </w:r>
            <w:r w:rsidR="001C66D0">
              <w:t>.</w:t>
            </w:r>
          </w:p>
        </w:tc>
      </w:tr>
      <w:tr w:rsidR="001A793C" w14:paraId="287793EB" w14:textId="77777777">
        <w:trPr>
          <w:gridBefore w:val="1"/>
          <w:wBefore w:w="187" w:type="dxa"/>
        </w:trPr>
        <w:tc>
          <w:tcPr>
            <w:tcW w:w="935" w:type="dxa"/>
          </w:tcPr>
          <w:p w14:paraId="497CCD1B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>W</w:t>
            </w:r>
          </w:p>
        </w:tc>
        <w:tc>
          <w:tcPr>
            <w:tcW w:w="374" w:type="dxa"/>
          </w:tcPr>
          <w:p w14:paraId="53D56504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663" w:type="dxa"/>
          </w:tcPr>
          <w:p w14:paraId="3C912CFC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>average daily volume of water in liters consumed per day (L/d) by the target species</w:t>
            </w:r>
            <w:r w:rsidR="001C66D0">
              <w:t>.</w:t>
            </w:r>
          </w:p>
        </w:tc>
      </w:tr>
      <w:tr w:rsidR="001A793C" w14:paraId="0AB1F397" w14:textId="77777777">
        <w:trPr>
          <w:gridBefore w:val="1"/>
          <w:wBefore w:w="187" w:type="dxa"/>
        </w:trPr>
        <w:tc>
          <w:tcPr>
            <w:tcW w:w="935" w:type="dxa"/>
          </w:tcPr>
          <w:p w14:paraId="0E726615" w14:textId="77777777" w:rsidR="001A793C" w:rsidRPr="00EB2693" w:rsidRDefault="001A793C" w:rsidP="001A793C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proofErr w:type="spellStart"/>
            <w:r>
              <w:t>F</w:t>
            </w:r>
            <w:r>
              <w:rPr>
                <w:vertAlign w:val="subscript"/>
              </w:rPr>
              <w:t>TLi</w:t>
            </w:r>
            <w:proofErr w:type="spellEnd"/>
          </w:p>
        </w:tc>
        <w:tc>
          <w:tcPr>
            <w:tcW w:w="374" w:type="dxa"/>
          </w:tcPr>
          <w:p w14:paraId="55C2E096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663" w:type="dxa"/>
          </w:tcPr>
          <w:p w14:paraId="302EB3BC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>average daily amount of food consumed by the target species in kilograms (kg/d)</w:t>
            </w:r>
            <w:r w:rsidR="00EA04E9">
              <w:t xml:space="preserve"> for trophic level </w:t>
            </w:r>
            <w:proofErr w:type="spellStart"/>
            <w:r w:rsidR="00EA04E9">
              <w:t>i</w:t>
            </w:r>
            <w:proofErr w:type="spellEnd"/>
            <w:r w:rsidR="001C66D0">
              <w:t>.</w:t>
            </w:r>
            <w:r>
              <w:t xml:space="preserve"> </w:t>
            </w:r>
          </w:p>
        </w:tc>
      </w:tr>
      <w:tr w:rsidR="001A793C" w14:paraId="289B3C72" w14:textId="77777777">
        <w:trPr>
          <w:gridBefore w:val="1"/>
          <w:wBefore w:w="187" w:type="dxa"/>
        </w:trPr>
        <w:tc>
          <w:tcPr>
            <w:tcW w:w="935" w:type="dxa"/>
          </w:tcPr>
          <w:p w14:paraId="67DA957C" w14:textId="77777777" w:rsidR="001A793C" w:rsidRPr="00EB2693" w:rsidRDefault="001A793C" w:rsidP="001A793C">
            <w:pPr>
              <w:widowControl w:val="0"/>
              <w:autoSpaceDE w:val="0"/>
              <w:autoSpaceDN w:val="0"/>
              <w:adjustRightInd w:val="0"/>
              <w:rPr>
                <w:vertAlign w:val="subscript"/>
              </w:rPr>
            </w:pPr>
            <w:proofErr w:type="spellStart"/>
            <w:r>
              <w:t>BAF</w:t>
            </w:r>
            <w:r>
              <w:rPr>
                <w:vertAlign w:val="subscript"/>
              </w:rPr>
              <w:t>WLTLi</w:t>
            </w:r>
            <w:proofErr w:type="spellEnd"/>
          </w:p>
        </w:tc>
        <w:tc>
          <w:tcPr>
            <w:tcW w:w="374" w:type="dxa"/>
          </w:tcPr>
          <w:p w14:paraId="47A5A7A3" w14:textId="77777777" w:rsidR="001A793C" w:rsidRDefault="001A793C" w:rsidP="001A793C">
            <w:pPr>
              <w:widowControl w:val="0"/>
              <w:autoSpaceDE w:val="0"/>
              <w:autoSpaceDN w:val="0"/>
              <w:adjustRightInd w:val="0"/>
            </w:pPr>
            <w:r>
              <w:t>=</w:t>
            </w:r>
          </w:p>
        </w:tc>
        <w:tc>
          <w:tcPr>
            <w:tcW w:w="6663" w:type="dxa"/>
          </w:tcPr>
          <w:p w14:paraId="391D0024" w14:textId="43D1944D" w:rsidR="001A793C" w:rsidRDefault="001A793C" w:rsidP="0012246E">
            <w:pPr>
              <w:widowControl w:val="0"/>
              <w:autoSpaceDE w:val="0"/>
              <w:autoSpaceDN w:val="0"/>
              <w:adjustRightInd w:val="0"/>
            </w:pPr>
            <w:r>
              <w:t>aquatic life bioaccumulation factor with units of liter per kilogram (L/kg), as derived</w:t>
            </w:r>
            <w:r w:rsidR="00A84345">
              <w:t xml:space="preserve"> from</w:t>
            </w:r>
            <w:r>
              <w:t xml:space="preserve"> </w:t>
            </w:r>
            <w:r w:rsidR="0012246E">
              <w:t>35 Ill. Adm. Code</w:t>
            </w:r>
            <w:r>
              <w:t xml:space="preserve"> 302.570</w:t>
            </w:r>
            <w:r w:rsidR="00EA04E9">
              <w:t xml:space="preserve"> for trophic level </w:t>
            </w:r>
            <w:proofErr w:type="spellStart"/>
            <w:r w:rsidR="00EA04E9">
              <w:t>i</w:t>
            </w:r>
            <w:proofErr w:type="spellEnd"/>
            <w:r w:rsidR="001C66D0">
              <w:t>.</w:t>
            </w:r>
          </w:p>
        </w:tc>
      </w:tr>
    </w:tbl>
    <w:p w14:paraId="666AB34F" w14:textId="77777777" w:rsidR="001A793C" w:rsidRDefault="001A793C" w:rsidP="001A793C">
      <w:pPr>
        <w:widowControl w:val="0"/>
        <w:autoSpaceDE w:val="0"/>
        <w:autoSpaceDN w:val="0"/>
        <w:adjustRightInd w:val="0"/>
      </w:pPr>
    </w:p>
    <w:p w14:paraId="266DCBFF" w14:textId="76CD70C4" w:rsidR="001A793C" w:rsidRDefault="001A793C" w:rsidP="00F21799">
      <w:pPr>
        <w:widowControl w:val="0"/>
        <w:numPr>
          <w:ilvl w:val="0"/>
          <w:numId w:val="1"/>
        </w:numPr>
        <w:tabs>
          <w:tab w:val="clear" w:pos="1080"/>
        </w:tabs>
        <w:autoSpaceDE w:val="0"/>
        <w:autoSpaceDN w:val="0"/>
        <w:adjustRightInd w:val="0"/>
        <w:ind w:left="1440" w:hanging="720"/>
      </w:pPr>
      <w:r>
        <w:t xml:space="preserve">Calculation of the Lake Michigan Basin Wildlife Criterion.  TSVs are obtained for each target species.  The geometric mean </w:t>
      </w:r>
      <w:r w:rsidR="004B397A">
        <w:t xml:space="preserve">of the </w:t>
      </w:r>
      <w:r>
        <w:t xml:space="preserve">TSVs is calculated </w:t>
      </w:r>
      <w:r w:rsidR="004B397A">
        <w:t xml:space="preserve">for all mammal species and </w:t>
      </w:r>
      <w:r>
        <w:t xml:space="preserve">all bird species.  The </w:t>
      </w:r>
      <w:proofErr w:type="spellStart"/>
      <w:r>
        <w:t>LMWC</w:t>
      </w:r>
      <w:proofErr w:type="spellEnd"/>
      <w:r>
        <w:t xml:space="preserve"> is the lower of the bird or mammal geometric mean TSV. </w:t>
      </w:r>
    </w:p>
    <w:p w14:paraId="5D37B77F" w14:textId="77777777" w:rsidR="00A936EB" w:rsidRDefault="00A936EB" w:rsidP="00D037A6">
      <w:pPr>
        <w:widowControl w:val="0"/>
        <w:autoSpaceDE w:val="0"/>
        <w:autoSpaceDN w:val="0"/>
        <w:adjustRightInd w:val="0"/>
      </w:pPr>
    </w:p>
    <w:p w14:paraId="3D877660" w14:textId="4B6A15CB" w:rsidR="00A936EB" w:rsidRPr="00D55B37" w:rsidRDefault="002B4EAB">
      <w:pPr>
        <w:pStyle w:val="JCARSourceNote"/>
        <w:ind w:firstLine="720"/>
      </w:pPr>
      <w:r>
        <w:t>(Source:  Amended at 4</w:t>
      </w:r>
      <w:r w:rsidR="004B397A">
        <w:t>7</w:t>
      </w:r>
      <w:r>
        <w:t xml:space="preserve"> Ill. Reg. </w:t>
      </w:r>
      <w:r w:rsidR="009A1CA6">
        <w:t>4437</w:t>
      </w:r>
      <w:r>
        <w:t xml:space="preserve">, effective </w:t>
      </w:r>
      <w:r w:rsidR="009A1CA6">
        <w:t>March 23, 2023</w:t>
      </w:r>
      <w:r>
        <w:t>)</w:t>
      </w:r>
    </w:p>
    <w:sectPr w:rsidR="00A936EB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67401"/>
    <w:multiLevelType w:val="hybridMultilevel"/>
    <w:tmpl w:val="97B21D28"/>
    <w:lvl w:ilvl="0" w:tplc="E68E82C0">
      <w:start w:val="5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59A8"/>
    <w:rsid w:val="00027E29"/>
    <w:rsid w:val="0008672C"/>
    <w:rsid w:val="000E71A5"/>
    <w:rsid w:val="0012246E"/>
    <w:rsid w:val="001A793C"/>
    <w:rsid w:val="001B79FA"/>
    <w:rsid w:val="001C66D0"/>
    <w:rsid w:val="00283EC7"/>
    <w:rsid w:val="002B4EAB"/>
    <w:rsid w:val="00470955"/>
    <w:rsid w:val="00491093"/>
    <w:rsid w:val="004B397A"/>
    <w:rsid w:val="005151E9"/>
    <w:rsid w:val="006B049A"/>
    <w:rsid w:val="00716862"/>
    <w:rsid w:val="007259A8"/>
    <w:rsid w:val="00841C4D"/>
    <w:rsid w:val="009A1CA6"/>
    <w:rsid w:val="009B06A6"/>
    <w:rsid w:val="00A84345"/>
    <w:rsid w:val="00A936EB"/>
    <w:rsid w:val="00AF6864"/>
    <w:rsid w:val="00B87D19"/>
    <w:rsid w:val="00C26C2B"/>
    <w:rsid w:val="00CC2952"/>
    <w:rsid w:val="00CE2112"/>
    <w:rsid w:val="00CF4564"/>
    <w:rsid w:val="00D037A6"/>
    <w:rsid w:val="00D0496B"/>
    <w:rsid w:val="00D30494"/>
    <w:rsid w:val="00E712A4"/>
    <w:rsid w:val="00EA04E9"/>
    <w:rsid w:val="00F2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C855819"/>
  <w15:docId w15:val="{F6090948-87ED-4C8A-A03C-7456250B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93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936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724</Words>
  <Characters>4127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State Of Illinois</Company>
  <LinksUpToDate>false</LinksUpToDate>
  <CharactersWithSpaces>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saboch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2023-04-07T22:48:00Z</dcterms:modified>
</cp:coreProperties>
</file>