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D1" w:rsidRDefault="00903AD1" w:rsidP="00903A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3AD1" w:rsidRDefault="00903AD1" w:rsidP="00903AD1">
      <w:pPr>
        <w:widowControl w:val="0"/>
        <w:autoSpaceDE w:val="0"/>
        <w:autoSpaceDN w:val="0"/>
        <w:adjustRightInd w:val="0"/>
      </w:pPr>
      <w:r>
        <w:t>SOURCE:  Old Part repealed at 13 Ill. Reg. 9501, effective June 12, 1989; new Part adopted at 24 Ill. Reg. 14428, effective September 11, 2000; expedited correction at 25 Ill. Reg. 9657,</w:t>
      </w:r>
      <w:r w:rsidR="00E00D97">
        <w:t xml:space="preserve"> effective September 11, 2000. </w:t>
      </w:r>
    </w:p>
    <w:sectPr w:rsidR="00903AD1" w:rsidSect="00903A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3AD1"/>
    <w:rsid w:val="0008766B"/>
    <w:rsid w:val="00467370"/>
    <w:rsid w:val="005C3366"/>
    <w:rsid w:val="00876CAA"/>
    <w:rsid w:val="00903AD1"/>
    <w:rsid w:val="00E0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Old Part repealed at 13 Ill</vt:lpstr>
    </vt:vector>
  </TitlesOfParts>
  <Company>State of Illinois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Old Part repealed at 13 Ill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