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FEF" w:rsidRDefault="00EA6FEF" w:rsidP="00EA6F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6FEF" w:rsidRDefault="00EA6FEF" w:rsidP="00EA6F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266.110  Allowable Emission Rate for Small Operations</w:t>
      </w:r>
      <w:r>
        <w:t xml:space="preserve"> </w:t>
      </w:r>
    </w:p>
    <w:p w:rsidR="00EA6FEF" w:rsidRDefault="00EA6FEF" w:rsidP="00EA6FEF">
      <w:pPr>
        <w:widowControl w:val="0"/>
        <w:autoSpaceDE w:val="0"/>
        <w:autoSpaceDN w:val="0"/>
        <w:adjustRightInd w:val="0"/>
      </w:pPr>
    </w:p>
    <w:p w:rsidR="00EA6FEF" w:rsidRDefault="00EA6FEF" w:rsidP="00EA6FEF">
      <w:pPr>
        <w:widowControl w:val="0"/>
        <w:autoSpaceDE w:val="0"/>
        <w:autoSpaceDN w:val="0"/>
        <w:adjustRightInd w:val="0"/>
      </w:pPr>
      <w:r>
        <w:t>For process weight rates of less than 100 pounds per hour (45.35 kg/</w:t>
      </w:r>
      <w:proofErr w:type="spellStart"/>
      <w:r>
        <w:t>hr</w:t>
      </w:r>
      <w:proofErr w:type="spellEnd"/>
      <w:r>
        <w:t>), the allowable emissions rate is 0.55 pounds per hour (0.25 kg/</w:t>
      </w:r>
      <w:proofErr w:type="spellStart"/>
      <w:r>
        <w:t>hr</w:t>
      </w:r>
      <w:proofErr w:type="spellEnd"/>
      <w:r>
        <w:t xml:space="preserve">). </w:t>
      </w:r>
    </w:p>
    <w:sectPr w:rsidR="00EA6FEF" w:rsidSect="00EA6F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6FEF"/>
    <w:rsid w:val="005270E7"/>
    <w:rsid w:val="005C3366"/>
    <w:rsid w:val="006662B3"/>
    <w:rsid w:val="008436C0"/>
    <w:rsid w:val="00E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