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48" w:rsidRDefault="007C7E48" w:rsidP="007C7E48">
      <w:pPr>
        <w:widowControl w:val="0"/>
        <w:autoSpaceDE w:val="0"/>
        <w:autoSpaceDN w:val="0"/>
        <w:adjustRightInd w:val="0"/>
      </w:pPr>
      <w:bookmarkStart w:id="0" w:name="_GoBack"/>
      <w:bookmarkEnd w:id="0"/>
    </w:p>
    <w:p w:rsidR="007C7E48" w:rsidRDefault="007C7E48" w:rsidP="007C7E48">
      <w:pPr>
        <w:widowControl w:val="0"/>
        <w:autoSpaceDE w:val="0"/>
        <w:autoSpaceDN w:val="0"/>
        <w:adjustRightInd w:val="0"/>
      </w:pPr>
      <w:r>
        <w:rPr>
          <w:b/>
          <w:bCs/>
        </w:rPr>
        <w:t>Section 244.105  Determination of Expected Contaminant Emissions</w:t>
      </w:r>
      <w:r>
        <w:t xml:space="preserve"> </w:t>
      </w:r>
    </w:p>
    <w:p w:rsidR="007C7E48" w:rsidRDefault="007C7E48" w:rsidP="007C7E48">
      <w:pPr>
        <w:widowControl w:val="0"/>
        <w:autoSpaceDE w:val="0"/>
        <w:autoSpaceDN w:val="0"/>
        <w:adjustRightInd w:val="0"/>
      </w:pPr>
    </w:p>
    <w:p w:rsidR="007C7E48" w:rsidRDefault="007C7E48" w:rsidP="007C7E48">
      <w:pPr>
        <w:widowControl w:val="0"/>
        <w:autoSpaceDE w:val="0"/>
        <w:autoSpaceDN w:val="0"/>
        <w:adjustRightInd w:val="0"/>
      </w:pPr>
      <w:r>
        <w:t xml:space="preserve">When determining expected contaminant emissions, the Agency shall consider all available emission information including but not limited to emission inventories for stationary sources, pertinent emissions summaries, motor vehicle traffic patterns, and known or estimated seasonal, daily or hourly variations in emission rates or traffic patterns. </w:t>
      </w:r>
    </w:p>
    <w:sectPr w:rsidR="007C7E48" w:rsidSect="007C7E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E48"/>
    <w:rsid w:val="004A0EA9"/>
    <w:rsid w:val="005C3366"/>
    <w:rsid w:val="007C7E48"/>
    <w:rsid w:val="00AB38A1"/>
    <w:rsid w:val="00C4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