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C" w:rsidRDefault="007A45CC" w:rsidP="007A45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5CC" w:rsidRDefault="007A45CC" w:rsidP="007A45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240.193  Compliance Determination</w:t>
      </w:r>
      <w:r>
        <w:t xml:space="preserve"> </w:t>
      </w:r>
    </w:p>
    <w:p w:rsidR="007A45CC" w:rsidRDefault="007A45CC" w:rsidP="007A45CC">
      <w:pPr>
        <w:widowControl w:val="0"/>
        <w:autoSpaceDE w:val="0"/>
        <w:autoSpaceDN w:val="0"/>
        <w:adjustRightInd w:val="0"/>
      </w:pPr>
    </w:p>
    <w:p w:rsidR="007A45CC" w:rsidRDefault="007A45CC" w:rsidP="007A45CC">
      <w:pPr>
        <w:widowControl w:val="0"/>
        <w:autoSpaceDE w:val="0"/>
        <w:autoSpaceDN w:val="0"/>
        <w:adjustRightInd w:val="0"/>
      </w:pPr>
      <w:r>
        <w:t xml:space="preserve">Compliance shall be determined based upon the inspection of the on-board diagnostic vehicle connector, malfunction indicator light, and electronic retrieval of data stored in the vehicle's on-board diagnostic system using the on-board diagnostic test procedures adopted by the Agency in 35 Ill. Adm. Code 276. </w:t>
      </w:r>
    </w:p>
    <w:p w:rsidR="007A45CC" w:rsidRDefault="007A45CC" w:rsidP="007A45CC">
      <w:pPr>
        <w:widowControl w:val="0"/>
        <w:autoSpaceDE w:val="0"/>
        <w:autoSpaceDN w:val="0"/>
        <w:adjustRightInd w:val="0"/>
      </w:pPr>
    </w:p>
    <w:p w:rsidR="007A45CC" w:rsidRDefault="007A45CC" w:rsidP="007A45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16379, effective December 18, 2001) </w:t>
      </w:r>
    </w:p>
    <w:sectPr w:rsidR="007A45CC" w:rsidSect="007A4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5CC"/>
    <w:rsid w:val="005873B3"/>
    <w:rsid w:val="005C3366"/>
    <w:rsid w:val="007A45CC"/>
    <w:rsid w:val="00813727"/>
    <w:rsid w:val="00C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