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D3" w:rsidRDefault="00264DD3" w:rsidP="00264D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DD3" w:rsidRDefault="00264DD3" w:rsidP="00264DD3">
      <w:pPr>
        <w:widowControl w:val="0"/>
        <w:autoSpaceDE w:val="0"/>
        <w:autoSpaceDN w:val="0"/>
        <w:adjustRightInd w:val="0"/>
        <w:jc w:val="center"/>
      </w:pPr>
      <w:r>
        <w:t>SUBPART H:  ON-BOARD DIAGNOSTIC TEST STANDARDS</w:t>
      </w:r>
    </w:p>
    <w:sectPr w:rsidR="00264DD3" w:rsidSect="00264D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DD3"/>
    <w:rsid w:val="00172E7A"/>
    <w:rsid w:val="00264DD3"/>
    <w:rsid w:val="004676A9"/>
    <w:rsid w:val="005B41A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ON-BOARD DIAGNOSTIC TEST STANDARDS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ON-BOARD DIAGNOSTIC TEST STANDARDS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