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96" w:rsidRDefault="006B4F96" w:rsidP="006B4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F96" w:rsidRDefault="006B4F96" w:rsidP="006B4F96">
      <w:pPr>
        <w:widowControl w:val="0"/>
        <w:autoSpaceDE w:val="0"/>
        <w:autoSpaceDN w:val="0"/>
        <w:adjustRightInd w:val="0"/>
        <w:jc w:val="center"/>
      </w:pPr>
      <w:r>
        <w:t>SUBPART D:  STEADY-STATE IDLE MODE TEST EMISSION STANDARDS</w:t>
      </w:r>
    </w:p>
    <w:sectPr w:rsidR="006B4F96" w:rsidSect="006B4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F96"/>
    <w:rsid w:val="005C3366"/>
    <w:rsid w:val="006B4F96"/>
    <w:rsid w:val="008D335B"/>
    <w:rsid w:val="00B041F8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STEADY-STATE IDLE MODE TEST EMISSION STANDARDS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STEADY-STATE IDLE MODE TEST EMISSION STANDARDS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