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AAB3E" w14:textId="77777777" w:rsidR="0013088E" w:rsidRDefault="00ED1D2B" w:rsidP="0013088E">
      <w:pPr>
        <w:widowControl w:val="0"/>
        <w:autoSpaceDE w:val="0"/>
        <w:autoSpaceDN w:val="0"/>
        <w:adjustRightInd w:val="0"/>
      </w:pPr>
      <w:r>
        <w:rPr>
          <w:b/>
          <w:bCs/>
        </w:rPr>
        <w:br w:type="page"/>
      </w:r>
      <w:r w:rsidR="0013088E">
        <w:rPr>
          <w:b/>
          <w:bCs/>
        </w:rPr>
        <w:lastRenderedPageBreak/>
        <w:t xml:space="preserve">Section 232.APPENDIX B </w:t>
      </w:r>
      <w:r w:rsidR="006C25DF">
        <w:rPr>
          <w:b/>
          <w:bCs/>
        </w:rPr>
        <w:t xml:space="preserve"> </w:t>
      </w:r>
      <w:r w:rsidR="0013088E">
        <w:rPr>
          <w:b/>
          <w:bCs/>
        </w:rPr>
        <w:t xml:space="preserve"> Additional Procedures for Calculating the Chronic Toxicity Score</w:t>
      </w:r>
      <w:r w:rsidR="0013088E">
        <w:t xml:space="preserve"> </w:t>
      </w:r>
    </w:p>
    <w:p w14:paraId="69F864C7" w14:textId="77777777" w:rsidR="0013088E" w:rsidRDefault="0013088E" w:rsidP="0013088E">
      <w:pPr>
        <w:widowControl w:val="0"/>
        <w:autoSpaceDE w:val="0"/>
        <w:autoSpaceDN w:val="0"/>
        <w:adjustRightInd w:val="0"/>
      </w:pPr>
    </w:p>
    <w:p w14:paraId="793F1ED9" w14:textId="77777777" w:rsidR="0013088E" w:rsidRDefault="0013088E" w:rsidP="0013088E">
      <w:pPr>
        <w:widowControl w:val="0"/>
        <w:autoSpaceDE w:val="0"/>
        <w:autoSpaceDN w:val="0"/>
        <w:adjustRightInd w:val="0"/>
        <w:ind w:left="1440" w:hanging="720"/>
      </w:pPr>
      <w:r>
        <w:t>a)</w:t>
      </w:r>
      <w:r>
        <w:tab/>
        <w:t xml:space="preserve">Procedures to be used in selecting chronic toxicity studies. </w:t>
      </w:r>
    </w:p>
    <w:p w14:paraId="058F7501" w14:textId="77777777" w:rsidR="00343BE5" w:rsidRDefault="00343BE5" w:rsidP="007936B2">
      <w:pPr>
        <w:widowControl w:val="0"/>
        <w:autoSpaceDE w:val="0"/>
        <w:autoSpaceDN w:val="0"/>
        <w:adjustRightInd w:val="0"/>
      </w:pPr>
    </w:p>
    <w:p w14:paraId="6B8858BD" w14:textId="77777777" w:rsidR="0013088E" w:rsidRDefault="0013088E" w:rsidP="0013088E">
      <w:pPr>
        <w:widowControl w:val="0"/>
        <w:autoSpaceDE w:val="0"/>
        <w:autoSpaceDN w:val="0"/>
        <w:adjustRightInd w:val="0"/>
        <w:ind w:left="2160" w:hanging="720"/>
      </w:pPr>
      <w:r>
        <w:t>1)</w:t>
      </w:r>
      <w:r>
        <w:tab/>
        <w:t xml:space="preserve">Chronic toxicity studies in which all of the items in subsection (a)(1)(A) of this appendix are identified or measured with adequate specificity to use the equations in subsection (b) of this appendix are to be given first preference. </w:t>
      </w:r>
    </w:p>
    <w:p w14:paraId="68C13F65" w14:textId="77777777" w:rsidR="00343BE5" w:rsidRDefault="00343BE5" w:rsidP="007936B2">
      <w:pPr>
        <w:widowControl w:val="0"/>
        <w:autoSpaceDE w:val="0"/>
        <w:autoSpaceDN w:val="0"/>
        <w:adjustRightInd w:val="0"/>
      </w:pPr>
    </w:p>
    <w:p w14:paraId="58AA05E4" w14:textId="77777777" w:rsidR="0013088E" w:rsidRDefault="0013088E" w:rsidP="0013088E">
      <w:pPr>
        <w:widowControl w:val="0"/>
        <w:autoSpaceDE w:val="0"/>
        <w:autoSpaceDN w:val="0"/>
        <w:adjustRightInd w:val="0"/>
        <w:ind w:left="2880" w:hanging="720"/>
      </w:pPr>
      <w:r>
        <w:t>A)</w:t>
      </w:r>
      <w:r>
        <w:tab/>
        <w:t xml:space="preserve">Study items to be identified or measured: </w:t>
      </w:r>
    </w:p>
    <w:p w14:paraId="0DB0F3DE" w14:textId="77777777" w:rsidR="00343BE5" w:rsidRDefault="00343BE5" w:rsidP="007936B2">
      <w:pPr>
        <w:widowControl w:val="0"/>
        <w:autoSpaceDE w:val="0"/>
        <w:autoSpaceDN w:val="0"/>
        <w:adjustRightInd w:val="0"/>
      </w:pPr>
    </w:p>
    <w:p w14:paraId="58883EAC" w14:textId="77777777" w:rsidR="0013088E" w:rsidRDefault="0013088E" w:rsidP="0013088E">
      <w:pPr>
        <w:widowControl w:val="0"/>
        <w:autoSpaceDE w:val="0"/>
        <w:autoSpaceDN w:val="0"/>
        <w:adjustRightInd w:val="0"/>
        <w:ind w:left="3600" w:hanging="720"/>
      </w:pPr>
      <w:proofErr w:type="spellStart"/>
      <w:r>
        <w:t>i</w:t>
      </w:r>
      <w:proofErr w:type="spellEnd"/>
      <w:r>
        <w:t>)</w:t>
      </w:r>
      <w:r>
        <w:tab/>
        <w:t xml:space="preserve">Test species; </w:t>
      </w:r>
    </w:p>
    <w:p w14:paraId="7DD94112" w14:textId="77777777" w:rsidR="00343BE5" w:rsidRDefault="00343BE5" w:rsidP="007936B2">
      <w:pPr>
        <w:widowControl w:val="0"/>
        <w:autoSpaceDE w:val="0"/>
        <w:autoSpaceDN w:val="0"/>
        <w:adjustRightInd w:val="0"/>
      </w:pPr>
    </w:p>
    <w:p w14:paraId="12A241A8" w14:textId="77777777" w:rsidR="0013088E" w:rsidRDefault="0013088E" w:rsidP="0013088E">
      <w:pPr>
        <w:widowControl w:val="0"/>
        <w:autoSpaceDE w:val="0"/>
        <w:autoSpaceDN w:val="0"/>
        <w:adjustRightInd w:val="0"/>
        <w:ind w:left="3600" w:hanging="720"/>
      </w:pPr>
      <w:r>
        <w:t>ii)</w:t>
      </w:r>
      <w:r>
        <w:tab/>
        <w:t xml:space="preserve">Contaminant dose; </w:t>
      </w:r>
    </w:p>
    <w:p w14:paraId="75BD9615" w14:textId="77777777" w:rsidR="00343BE5" w:rsidRDefault="00343BE5" w:rsidP="007936B2">
      <w:pPr>
        <w:widowControl w:val="0"/>
        <w:autoSpaceDE w:val="0"/>
        <w:autoSpaceDN w:val="0"/>
        <w:adjustRightInd w:val="0"/>
      </w:pPr>
    </w:p>
    <w:p w14:paraId="05338B7C" w14:textId="77777777" w:rsidR="0013088E" w:rsidRDefault="0013088E" w:rsidP="0013088E">
      <w:pPr>
        <w:widowControl w:val="0"/>
        <w:autoSpaceDE w:val="0"/>
        <w:autoSpaceDN w:val="0"/>
        <w:adjustRightInd w:val="0"/>
        <w:ind w:left="3600" w:hanging="720"/>
      </w:pPr>
      <w:r>
        <w:t>iii)</w:t>
      </w:r>
      <w:r>
        <w:tab/>
        <w:t xml:space="preserve">Duration of exposure must be at least 21 days, except for developmental studies in animals, in which case the duration of exposure must be during critical gestation days; </w:t>
      </w:r>
    </w:p>
    <w:p w14:paraId="257ABE3C" w14:textId="77777777" w:rsidR="00343BE5" w:rsidRDefault="00343BE5" w:rsidP="007936B2">
      <w:pPr>
        <w:widowControl w:val="0"/>
        <w:autoSpaceDE w:val="0"/>
        <w:autoSpaceDN w:val="0"/>
        <w:adjustRightInd w:val="0"/>
      </w:pPr>
    </w:p>
    <w:p w14:paraId="70E0C163" w14:textId="77777777" w:rsidR="0013088E" w:rsidRDefault="0013088E" w:rsidP="0013088E">
      <w:pPr>
        <w:widowControl w:val="0"/>
        <w:autoSpaceDE w:val="0"/>
        <w:autoSpaceDN w:val="0"/>
        <w:adjustRightInd w:val="0"/>
        <w:ind w:left="3600" w:hanging="720"/>
      </w:pPr>
      <w:r>
        <w:t>iv)</w:t>
      </w:r>
      <w:r>
        <w:tab/>
        <w:t xml:space="preserve">Route of exposure; and </w:t>
      </w:r>
    </w:p>
    <w:p w14:paraId="7967D8A4" w14:textId="77777777" w:rsidR="00343BE5" w:rsidRDefault="00343BE5" w:rsidP="007936B2">
      <w:pPr>
        <w:widowControl w:val="0"/>
        <w:autoSpaceDE w:val="0"/>
        <w:autoSpaceDN w:val="0"/>
        <w:adjustRightInd w:val="0"/>
      </w:pPr>
    </w:p>
    <w:p w14:paraId="1FEEF827" w14:textId="77777777" w:rsidR="0013088E" w:rsidRDefault="0013088E" w:rsidP="0013088E">
      <w:pPr>
        <w:widowControl w:val="0"/>
        <w:autoSpaceDE w:val="0"/>
        <w:autoSpaceDN w:val="0"/>
        <w:adjustRightInd w:val="0"/>
        <w:ind w:left="3600" w:hanging="720"/>
      </w:pPr>
      <w:r>
        <w:t>v)</w:t>
      </w:r>
      <w:r>
        <w:tab/>
        <w:t xml:space="preserve">Effect of exposure. </w:t>
      </w:r>
    </w:p>
    <w:p w14:paraId="2DB2AB4A" w14:textId="77777777" w:rsidR="00343BE5" w:rsidRDefault="00343BE5" w:rsidP="007936B2">
      <w:pPr>
        <w:widowControl w:val="0"/>
        <w:autoSpaceDE w:val="0"/>
        <w:autoSpaceDN w:val="0"/>
        <w:adjustRightInd w:val="0"/>
      </w:pPr>
    </w:p>
    <w:p w14:paraId="3A61F56C" w14:textId="77777777" w:rsidR="0013088E" w:rsidRDefault="0013088E" w:rsidP="0013088E">
      <w:pPr>
        <w:widowControl w:val="0"/>
        <w:autoSpaceDE w:val="0"/>
        <w:autoSpaceDN w:val="0"/>
        <w:adjustRightInd w:val="0"/>
        <w:ind w:left="2880" w:hanging="720"/>
      </w:pPr>
      <w:r>
        <w:t>B)</w:t>
      </w:r>
      <w:r>
        <w:tab/>
        <w:t xml:space="preserve">In the event that two or more studies are available in which the items in subsection (a)(1)(A) are deemed to have been identified or measured, but which give inconsistent results, the study must be selected by the following procedures: </w:t>
      </w:r>
    </w:p>
    <w:p w14:paraId="5B110B45" w14:textId="77777777" w:rsidR="00343BE5" w:rsidRDefault="00343BE5" w:rsidP="007936B2">
      <w:pPr>
        <w:widowControl w:val="0"/>
        <w:autoSpaceDE w:val="0"/>
        <w:autoSpaceDN w:val="0"/>
        <w:adjustRightInd w:val="0"/>
      </w:pPr>
    </w:p>
    <w:p w14:paraId="37EA4A81" w14:textId="77777777" w:rsidR="0013088E" w:rsidRDefault="0013088E" w:rsidP="0013088E">
      <w:pPr>
        <w:widowControl w:val="0"/>
        <w:autoSpaceDE w:val="0"/>
        <w:autoSpaceDN w:val="0"/>
        <w:adjustRightInd w:val="0"/>
        <w:ind w:left="3600" w:hanging="720"/>
      </w:pPr>
      <w:proofErr w:type="spellStart"/>
      <w:r>
        <w:t>i</w:t>
      </w:r>
      <w:proofErr w:type="spellEnd"/>
      <w:r>
        <w:t>)</w:t>
      </w:r>
      <w:r>
        <w:tab/>
        <w:t xml:space="preserve">In the event that two or more studies are laboratory animal toxicity studies, the study that is conducted in accordance with or consistent with Good Laboratory Practice Standards must be used.  Good Laboratory Practice Standards are incorporated by reference in Section 232.110. </w:t>
      </w:r>
    </w:p>
    <w:p w14:paraId="32391B0B" w14:textId="77777777" w:rsidR="00343BE5" w:rsidRDefault="00343BE5" w:rsidP="007936B2">
      <w:pPr>
        <w:widowControl w:val="0"/>
        <w:autoSpaceDE w:val="0"/>
        <w:autoSpaceDN w:val="0"/>
        <w:adjustRightInd w:val="0"/>
      </w:pPr>
    </w:p>
    <w:p w14:paraId="53CF4937" w14:textId="77777777" w:rsidR="0013088E" w:rsidRDefault="0013088E" w:rsidP="0013088E">
      <w:pPr>
        <w:widowControl w:val="0"/>
        <w:autoSpaceDE w:val="0"/>
        <w:autoSpaceDN w:val="0"/>
        <w:adjustRightInd w:val="0"/>
        <w:ind w:left="3600" w:hanging="720"/>
      </w:pPr>
      <w:r>
        <w:t>ii)</w:t>
      </w:r>
      <w:r>
        <w:tab/>
        <w:t xml:space="preserve">In the event that the application of the procedure in subsection (i) fails to result in the selection of one study, then the study that results in the highest Chronic Toxicity Score must be used. </w:t>
      </w:r>
    </w:p>
    <w:p w14:paraId="5238A31D" w14:textId="77777777" w:rsidR="00343BE5" w:rsidRDefault="00343BE5" w:rsidP="007936B2">
      <w:pPr>
        <w:widowControl w:val="0"/>
        <w:autoSpaceDE w:val="0"/>
        <w:autoSpaceDN w:val="0"/>
        <w:adjustRightInd w:val="0"/>
      </w:pPr>
    </w:p>
    <w:p w14:paraId="61D66B19" w14:textId="77777777" w:rsidR="0013088E" w:rsidRDefault="0013088E" w:rsidP="0013088E">
      <w:pPr>
        <w:widowControl w:val="0"/>
        <w:autoSpaceDE w:val="0"/>
        <w:autoSpaceDN w:val="0"/>
        <w:adjustRightInd w:val="0"/>
        <w:ind w:left="2160" w:hanging="720"/>
      </w:pPr>
      <w:r>
        <w:t>2)</w:t>
      </w:r>
      <w:r>
        <w:tab/>
        <w:t xml:space="preserve">Studies that identify or measure all of the items in subsection (a)(1)(A) of this appendix, except for the contaminant dose, must be given second preference. </w:t>
      </w:r>
    </w:p>
    <w:p w14:paraId="79D77692" w14:textId="77777777" w:rsidR="00343BE5" w:rsidRDefault="00343BE5" w:rsidP="007936B2">
      <w:pPr>
        <w:widowControl w:val="0"/>
        <w:autoSpaceDE w:val="0"/>
        <w:autoSpaceDN w:val="0"/>
        <w:adjustRightInd w:val="0"/>
      </w:pPr>
    </w:p>
    <w:p w14:paraId="59ECACBC" w14:textId="77777777" w:rsidR="0013088E" w:rsidRDefault="0013088E" w:rsidP="0013088E">
      <w:pPr>
        <w:widowControl w:val="0"/>
        <w:autoSpaceDE w:val="0"/>
        <w:autoSpaceDN w:val="0"/>
        <w:adjustRightInd w:val="0"/>
        <w:ind w:left="2880" w:hanging="720"/>
      </w:pPr>
      <w:r>
        <w:t>A)</w:t>
      </w:r>
      <w:r>
        <w:tab/>
        <w:t xml:space="preserve">For a second preference study, the Lowest Toxic Dose Score for a given species and a given route of exposure must be determined </w:t>
      </w:r>
      <w:r>
        <w:lastRenderedPageBreak/>
        <w:t xml:space="preserve">according to the following table: </w:t>
      </w:r>
    </w:p>
    <w:p w14:paraId="67AB7F23" w14:textId="77777777" w:rsidR="0013088E" w:rsidRDefault="0013088E" w:rsidP="0013088E">
      <w:pPr>
        <w:widowControl w:val="0"/>
        <w:autoSpaceDE w:val="0"/>
        <w:autoSpaceDN w:val="0"/>
        <w:adjustRightInd w:val="0"/>
      </w:pPr>
    </w:p>
    <w:tbl>
      <w:tblPr>
        <w:tblW w:w="0" w:type="auto"/>
        <w:tblInd w:w="2844" w:type="dxa"/>
        <w:tblLook w:val="0000" w:firstRow="0" w:lastRow="0" w:firstColumn="0" w:lastColumn="0" w:noHBand="0" w:noVBand="0"/>
      </w:tblPr>
      <w:tblGrid>
        <w:gridCol w:w="1482"/>
        <w:gridCol w:w="2109"/>
        <w:gridCol w:w="2793"/>
      </w:tblGrid>
      <w:tr w:rsidR="006C25DF" w:rsidRPr="006C25DF" w14:paraId="5973FB83" w14:textId="77777777">
        <w:tc>
          <w:tcPr>
            <w:tcW w:w="1482" w:type="dxa"/>
          </w:tcPr>
          <w:p w14:paraId="39394F8F" w14:textId="77777777" w:rsidR="006C25DF" w:rsidRPr="006C25DF" w:rsidRDefault="006C25DF" w:rsidP="00636CD1">
            <w:pPr>
              <w:widowControl w:val="0"/>
              <w:autoSpaceDE w:val="0"/>
              <w:autoSpaceDN w:val="0"/>
              <w:adjustRightInd w:val="0"/>
            </w:pPr>
            <w:r w:rsidRPr="006C25DF">
              <w:t>Species</w:t>
            </w:r>
          </w:p>
        </w:tc>
        <w:tc>
          <w:tcPr>
            <w:tcW w:w="2109" w:type="dxa"/>
          </w:tcPr>
          <w:p w14:paraId="66AE05BA" w14:textId="77777777" w:rsidR="006C25DF" w:rsidRPr="006C25DF" w:rsidRDefault="006C25DF" w:rsidP="00636CD1">
            <w:pPr>
              <w:widowControl w:val="0"/>
              <w:autoSpaceDE w:val="0"/>
              <w:autoSpaceDN w:val="0"/>
              <w:adjustRightInd w:val="0"/>
            </w:pPr>
            <w:r w:rsidRPr="006C25DF">
              <w:t>Route of</w:t>
            </w:r>
            <w:r>
              <w:t xml:space="preserve"> Exposure</w:t>
            </w:r>
          </w:p>
        </w:tc>
        <w:tc>
          <w:tcPr>
            <w:tcW w:w="2793" w:type="dxa"/>
          </w:tcPr>
          <w:p w14:paraId="3D1E962C" w14:textId="77777777" w:rsidR="006C25DF" w:rsidRPr="006C25DF" w:rsidRDefault="006C25DF" w:rsidP="006C25DF">
            <w:pPr>
              <w:widowControl w:val="0"/>
              <w:autoSpaceDE w:val="0"/>
              <w:autoSpaceDN w:val="0"/>
              <w:adjustRightInd w:val="0"/>
              <w:jc w:val="center"/>
            </w:pPr>
            <w:r w:rsidRPr="006C25DF">
              <w:t>Lowest Toxic</w:t>
            </w:r>
            <w:r>
              <w:t xml:space="preserve"> Dose Score</w:t>
            </w:r>
          </w:p>
        </w:tc>
      </w:tr>
      <w:tr w:rsidR="006C25DF" w:rsidRPr="006C25DF" w14:paraId="6A40277C" w14:textId="77777777">
        <w:tc>
          <w:tcPr>
            <w:tcW w:w="6384" w:type="dxa"/>
            <w:gridSpan w:val="3"/>
          </w:tcPr>
          <w:p w14:paraId="5184AF26" w14:textId="77777777" w:rsidR="006C25DF" w:rsidRPr="006C25DF" w:rsidRDefault="006C25DF" w:rsidP="00636CD1">
            <w:pPr>
              <w:widowControl w:val="0"/>
              <w:autoSpaceDE w:val="0"/>
              <w:autoSpaceDN w:val="0"/>
              <w:adjustRightInd w:val="0"/>
            </w:pPr>
          </w:p>
        </w:tc>
      </w:tr>
      <w:tr w:rsidR="006C25DF" w:rsidRPr="006C25DF" w14:paraId="5844FBF2" w14:textId="77777777">
        <w:tc>
          <w:tcPr>
            <w:tcW w:w="1482" w:type="dxa"/>
          </w:tcPr>
          <w:p w14:paraId="3A37A25A" w14:textId="77777777" w:rsidR="006C25DF" w:rsidRPr="006C25DF" w:rsidRDefault="006C25DF" w:rsidP="00636CD1">
            <w:pPr>
              <w:widowControl w:val="0"/>
              <w:autoSpaceDE w:val="0"/>
              <w:autoSpaceDN w:val="0"/>
              <w:adjustRightInd w:val="0"/>
            </w:pPr>
            <w:r w:rsidRPr="006C25DF">
              <w:t>Human</w:t>
            </w:r>
          </w:p>
        </w:tc>
        <w:tc>
          <w:tcPr>
            <w:tcW w:w="2109" w:type="dxa"/>
          </w:tcPr>
          <w:p w14:paraId="035C3C87" w14:textId="77777777" w:rsidR="006C25DF" w:rsidRPr="006C25DF" w:rsidRDefault="006C25DF" w:rsidP="00636CD1">
            <w:pPr>
              <w:widowControl w:val="0"/>
              <w:autoSpaceDE w:val="0"/>
              <w:autoSpaceDN w:val="0"/>
              <w:adjustRightInd w:val="0"/>
            </w:pPr>
            <w:r w:rsidRPr="006C25DF">
              <w:t>Inhalation</w:t>
            </w:r>
          </w:p>
        </w:tc>
        <w:tc>
          <w:tcPr>
            <w:tcW w:w="2793" w:type="dxa"/>
          </w:tcPr>
          <w:p w14:paraId="048AB4C1" w14:textId="77777777" w:rsidR="006C25DF" w:rsidRPr="006C25DF" w:rsidRDefault="006C25DF" w:rsidP="006C25DF">
            <w:pPr>
              <w:widowControl w:val="0"/>
              <w:autoSpaceDE w:val="0"/>
              <w:autoSpaceDN w:val="0"/>
              <w:adjustRightInd w:val="0"/>
              <w:jc w:val="center"/>
            </w:pPr>
            <w:r w:rsidRPr="006C25DF">
              <w:t>1</w:t>
            </w:r>
          </w:p>
        </w:tc>
      </w:tr>
      <w:tr w:rsidR="006C25DF" w:rsidRPr="006C25DF" w14:paraId="37682E57" w14:textId="77777777">
        <w:tc>
          <w:tcPr>
            <w:tcW w:w="1482" w:type="dxa"/>
          </w:tcPr>
          <w:p w14:paraId="698256B7" w14:textId="77777777" w:rsidR="006C25DF" w:rsidRPr="006C25DF" w:rsidRDefault="006C25DF" w:rsidP="00636CD1">
            <w:pPr>
              <w:widowControl w:val="0"/>
              <w:autoSpaceDE w:val="0"/>
              <w:autoSpaceDN w:val="0"/>
              <w:adjustRightInd w:val="0"/>
            </w:pPr>
            <w:r w:rsidRPr="006C25DF">
              <w:t>Human</w:t>
            </w:r>
          </w:p>
        </w:tc>
        <w:tc>
          <w:tcPr>
            <w:tcW w:w="2109" w:type="dxa"/>
          </w:tcPr>
          <w:p w14:paraId="4845A896" w14:textId="77777777" w:rsidR="006C25DF" w:rsidRPr="006C25DF" w:rsidRDefault="006C25DF" w:rsidP="00636CD1">
            <w:pPr>
              <w:widowControl w:val="0"/>
              <w:autoSpaceDE w:val="0"/>
              <w:autoSpaceDN w:val="0"/>
              <w:adjustRightInd w:val="0"/>
            </w:pPr>
            <w:r w:rsidRPr="006C25DF">
              <w:t>Non-inhalation</w:t>
            </w:r>
          </w:p>
        </w:tc>
        <w:tc>
          <w:tcPr>
            <w:tcW w:w="2793" w:type="dxa"/>
          </w:tcPr>
          <w:p w14:paraId="336150DE" w14:textId="77777777" w:rsidR="006C25DF" w:rsidRPr="00ED1D2B" w:rsidRDefault="00ED1D2B" w:rsidP="006C25DF">
            <w:pPr>
              <w:widowControl w:val="0"/>
              <w:autoSpaceDE w:val="0"/>
              <w:autoSpaceDN w:val="0"/>
              <w:adjustRightInd w:val="0"/>
              <w:ind w:firstLine="177"/>
              <w:jc w:val="center"/>
            </w:pPr>
            <w:r w:rsidRPr="00ED1D2B">
              <w:t>⅔</w:t>
            </w:r>
          </w:p>
        </w:tc>
      </w:tr>
      <w:tr w:rsidR="006C25DF" w:rsidRPr="006C25DF" w14:paraId="7FF4DF02" w14:textId="77777777">
        <w:tc>
          <w:tcPr>
            <w:tcW w:w="1482" w:type="dxa"/>
          </w:tcPr>
          <w:p w14:paraId="32C68357" w14:textId="77777777" w:rsidR="006C25DF" w:rsidRPr="006C25DF" w:rsidRDefault="006C25DF" w:rsidP="00636CD1">
            <w:pPr>
              <w:widowControl w:val="0"/>
              <w:autoSpaceDE w:val="0"/>
              <w:autoSpaceDN w:val="0"/>
              <w:adjustRightInd w:val="0"/>
            </w:pPr>
            <w:r w:rsidRPr="006C25DF">
              <w:t>Non-human</w:t>
            </w:r>
          </w:p>
        </w:tc>
        <w:tc>
          <w:tcPr>
            <w:tcW w:w="2109" w:type="dxa"/>
          </w:tcPr>
          <w:p w14:paraId="04A9823E" w14:textId="77777777" w:rsidR="006C25DF" w:rsidRPr="006C25DF" w:rsidRDefault="006C25DF" w:rsidP="00636CD1">
            <w:pPr>
              <w:widowControl w:val="0"/>
              <w:autoSpaceDE w:val="0"/>
              <w:autoSpaceDN w:val="0"/>
              <w:adjustRightInd w:val="0"/>
            </w:pPr>
            <w:r w:rsidRPr="006C25DF">
              <w:t>Inhalation</w:t>
            </w:r>
          </w:p>
        </w:tc>
        <w:tc>
          <w:tcPr>
            <w:tcW w:w="2793" w:type="dxa"/>
          </w:tcPr>
          <w:p w14:paraId="75F62BA2" w14:textId="77777777" w:rsidR="006C25DF" w:rsidRPr="00ED1D2B" w:rsidRDefault="00ED1D2B" w:rsidP="006C25DF">
            <w:pPr>
              <w:widowControl w:val="0"/>
              <w:autoSpaceDE w:val="0"/>
              <w:autoSpaceDN w:val="0"/>
              <w:adjustRightInd w:val="0"/>
              <w:ind w:firstLine="177"/>
              <w:jc w:val="center"/>
            </w:pPr>
            <w:r w:rsidRPr="00ED1D2B">
              <w:t>⅔</w:t>
            </w:r>
          </w:p>
        </w:tc>
      </w:tr>
      <w:tr w:rsidR="006C25DF" w:rsidRPr="006C25DF" w14:paraId="3B1A4768" w14:textId="77777777">
        <w:tc>
          <w:tcPr>
            <w:tcW w:w="1482" w:type="dxa"/>
          </w:tcPr>
          <w:p w14:paraId="701C44FD" w14:textId="77777777" w:rsidR="006C25DF" w:rsidRPr="006C25DF" w:rsidRDefault="006C25DF" w:rsidP="00636CD1">
            <w:pPr>
              <w:widowControl w:val="0"/>
              <w:autoSpaceDE w:val="0"/>
              <w:autoSpaceDN w:val="0"/>
              <w:adjustRightInd w:val="0"/>
            </w:pPr>
            <w:r w:rsidRPr="006C25DF">
              <w:t>Non-human</w:t>
            </w:r>
          </w:p>
        </w:tc>
        <w:tc>
          <w:tcPr>
            <w:tcW w:w="2109" w:type="dxa"/>
          </w:tcPr>
          <w:p w14:paraId="078F8218" w14:textId="77777777" w:rsidR="006C25DF" w:rsidRPr="006C25DF" w:rsidRDefault="006C25DF" w:rsidP="00636CD1">
            <w:pPr>
              <w:widowControl w:val="0"/>
              <w:autoSpaceDE w:val="0"/>
              <w:autoSpaceDN w:val="0"/>
              <w:adjustRightInd w:val="0"/>
            </w:pPr>
            <w:r w:rsidRPr="006C25DF">
              <w:t>Non-inhalation</w:t>
            </w:r>
          </w:p>
        </w:tc>
        <w:tc>
          <w:tcPr>
            <w:tcW w:w="2793" w:type="dxa"/>
          </w:tcPr>
          <w:p w14:paraId="277E80A7" w14:textId="77777777" w:rsidR="006C25DF" w:rsidRPr="006C25DF" w:rsidRDefault="006C25DF" w:rsidP="006C25DF">
            <w:pPr>
              <w:widowControl w:val="0"/>
              <w:autoSpaceDE w:val="0"/>
              <w:autoSpaceDN w:val="0"/>
              <w:adjustRightInd w:val="0"/>
              <w:ind w:firstLine="177"/>
              <w:jc w:val="center"/>
            </w:pPr>
            <w:r>
              <w:t>⅓</w:t>
            </w:r>
          </w:p>
        </w:tc>
      </w:tr>
    </w:tbl>
    <w:p w14:paraId="7A323838" w14:textId="77777777" w:rsidR="006C25DF" w:rsidRDefault="006C25DF" w:rsidP="006C25DF">
      <w:pPr>
        <w:widowControl w:val="0"/>
        <w:autoSpaceDE w:val="0"/>
        <w:autoSpaceDN w:val="0"/>
        <w:adjustRightInd w:val="0"/>
      </w:pPr>
    </w:p>
    <w:p w14:paraId="73A3BB92" w14:textId="77777777" w:rsidR="0013088E" w:rsidRDefault="0013088E" w:rsidP="0013088E">
      <w:pPr>
        <w:widowControl w:val="0"/>
        <w:autoSpaceDE w:val="0"/>
        <w:autoSpaceDN w:val="0"/>
        <w:adjustRightInd w:val="0"/>
        <w:ind w:left="2880" w:hanging="720"/>
      </w:pPr>
      <w:r>
        <w:t>B)</w:t>
      </w:r>
      <w:r>
        <w:tab/>
        <w:t xml:space="preserve">In the event that two or more second preference studies are available, the study that results in the highest Chronic Toxicity Score must be used. </w:t>
      </w:r>
    </w:p>
    <w:p w14:paraId="6B5FBA5C" w14:textId="77777777" w:rsidR="00343BE5" w:rsidRDefault="00343BE5" w:rsidP="007936B2">
      <w:pPr>
        <w:widowControl w:val="0"/>
        <w:autoSpaceDE w:val="0"/>
        <w:autoSpaceDN w:val="0"/>
        <w:adjustRightInd w:val="0"/>
      </w:pPr>
    </w:p>
    <w:p w14:paraId="527D5208" w14:textId="77777777" w:rsidR="0013088E" w:rsidRDefault="0013088E" w:rsidP="0013088E">
      <w:pPr>
        <w:widowControl w:val="0"/>
        <w:autoSpaceDE w:val="0"/>
        <w:autoSpaceDN w:val="0"/>
        <w:adjustRightInd w:val="0"/>
        <w:ind w:left="2160" w:hanging="720"/>
      </w:pPr>
      <w:r>
        <w:t>3)</w:t>
      </w:r>
      <w:r>
        <w:tab/>
        <w:t xml:space="preserve">A contaminant for which there is insufficient data in the study to identify the elements of either a first or second preference study must be determined to have no data and be assigned a Chronic Toxicity Score of 0. </w:t>
      </w:r>
    </w:p>
    <w:p w14:paraId="2CC0EB6D" w14:textId="77777777" w:rsidR="00343BE5" w:rsidRDefault="00343BE5" w:rsidP="007936B2">
      <w:pPr>
        <w:widowControl w:val="0"/>
        <w:autoSpaceDE w:val="0"/>
        <w:autoSpaceDN w:val="0"/>
        <w:adjustRightInd w:val="0"/>
      </w:pPr>
    </w:p>
    <w:p w14:paraId="00148B5E" w14:textId="77777777" w:rsidR="0013088E" w:rsidRDefault="0013088E" w:rsidP="0013088E">
      <w:pPr>
        <w:widowControl w:val="0"/>
        <w:autoSpaceDE w:val="0"/>
        <w:autoSpaceDN w:val="0"/>
        <w:adjustRightInd w:val="0"/>
        <w:ind w:left="1440" w:hanging="720"/>
      </w:pPr>
      <w:r>
        <w:t>b)</w:t>
      </w:r>
      <w:r>
        <w:tab/>
        <w:t xml:space="preserve">The following general equation must be used to obtain the dose in units of milligram per kilogram per day for the oral, gavage and inhalation routes of exposure:  Dose = (I)(C)(TCF)/UF </w:t>
      </w:r>
    </w:p>
    <w:p w14:paraId="2F3355AA" w14:textId="77777777" w:rsidR="00343BE5" w:rsidRDefault="00343BE5" w:rsidP="007936B2">
      <w:pPr>
        <w:widowControl w:val="0"/>
        <w:autoSpaceDE w:val="0"/>
        <w:autoSpaceDN w:val="0"/>
        <w:adjustRightInd w:val="0"/>
      </w:pPr>
    </w:p>
    <w:p w14:paraId="5F6A1D4B" w14:textId="77777777" w:rsidR="0013088E" w:rsidRDefault="0013088E" w:rsidP="0013088E">
      <w:pPr>
        <w:widowControl w:val="0"/>
        <w:autoSpaceDE w:val="0"/>
        <w:autoSpaceDN w:val="0"/>
        <w:adjustRightInd w:val="0"/>
        <w:ind w:left="2160" w:hanging="720"/>
      </w:pPr>
      <w:r>
        <w:t>1)</w:t>
      </w:r>
      <w:r>
        <w:tab/>
        <w:t xml:space="preserve">For the routes of exposure listed below, use the following: </w:t>
      </w:r>
    </w:p>
    <w:p w14:paraId="04F2B91D" w14:textId="77777777" w:rsidR="0013088E" w:rsidRDefault="0013088E" w:rsidP="0013088E">
      <w:pPr>
        <w:widowControl w:val="0"/>
        <w:autoSpaceDE w:val="0"/>
        <w:autoSpaceDN w:val="0"/>
        <w:adjustRightInd w:val="0"/>
      </w:pPr>
    </w:p>
    <w:tbl>
      <w:tblPr>
        <w:tblW w:w="0" w:type="auto"/>
        <w:tblInd w:w="2160" w:type="dxa"/>
        <w:tblLayout w:type="fixed"/>
        <w:tblLook w:val="0000" w:firstRow="0" w:lastRow="0" w:firstColumn="0" w:lastColumn="0" w:noHBand="0" w:noVBand="0"/>
      </w:tblPr>
      <w:tblGrid>
        <w:gridCol w:w="675"/>
        <w:gridCol w:w="237"/>
        <w:gridCol w:w="6"/>
        <w:gridCol w:w="6498"/>
      </w:tblGrid>
      <w:tr w:rsidR="00ED1D2B" w14:paraId="0C6DB7C7" w14:textId="77777777">
        <w:tc>
          <w:tcPr>
            <w:tcW w:w="675" w:type="dxa"/>
          </w:tcPr>
          <w:p w14:paraId="6EB45277" w14:textId="77777777" w:rsidR="00ED1D2B" w:rsidRDefault="00ED1D2B" w:rsidP="0013088E">
            <w:pPr>
              <w:widowControl w:val="0"/>
              <w:autoSpaceDE w:val="0"/>
              <w:autoSpaceDN w:val="0"/>
              <w:adjustRightInd w:val="0"/>
            </w:pPr>
            <w:r>
              <w:t>TCF</w:t>
            </w:r>
          </w:p>
        </w:tc>
        <w:tc>
          <w:tcPr>
            <w:tcW w:w="237" w:type="dxa"/>
          </w:tcPr>
          <w:p w14:paraId="16CCA3A2" w14:textId="77777777" w:rsidR="00ED1D2B" w:rsidRDefault="00ED1D2B" w:rsidP="00ED1D2B">
            <w:pPr>
              <w:widowControl w:val="0"/>
              <w:autoSpaceDE w:val="0"/>
              <w:autoSpaceDN w:val="0"/>
              <w:adjustRightInd w:val="0"/>
              <w:ind w:left="-135" w:right="-75"/>
              <w:jc w:val="center"/>
            </w:pPr>
            <w:r>
              <w:t>=</w:t>
            </w:r>
          </w:p>
        </w:tc>
        <w:tc>
          <w:tcPr>
            <w:tcW w:w="6504" w:type="dxa"/>
            <w:gridSpan w:val="2"/>
          </w:tcPr>
          <w:p w14:paraId="43AE2FD4" w14:textId="77777777" w:rsidR="00ED1D2B" w:rsidRPr="006C25DF" w:rsidRDefault="00ED1D2B" w:rsidP="0013088E">
            <w:pPr>
              <w:widowControl w:val="0"/>
              <w:autoSpaceDE w:val="0"/>
              <w:autoSpaceDN w:val="0"/>
              <w:adjustRightInd w:val="0"/>
            </w:pPr>
            <w:r>
              <w:t xml:space="preserve">Time Correction Factor of 1, unless the exposure was intermittent, in which case the fraction of time during which exposure occurred is used (e.g., 5 days/week = </w:t>
            </w:r>
            <w:r w:rsidRPr="006C25DF">
              <w:rPr>
                <w:vertAlign w:val="superscript"/>
              </w:rPr>
              <w:t>5</w:t>
            </w:r>
            <w:r>
              <w:t>/</w:t>
            </w:r>
            <w:r w:rsidRPr="006C25DF">
              <w:rPr>
                <w:vertAlign w:val="subscript"/>
              </w:rPr>
              <w:t>7</w:t>
            </w:r>
            <w:r>
              <w:t xml:space="preserve"> = 0.71).</w:t>
            </w:r>
          </w:p>
        </w:tc>
      </w:tr>
      <w:tr w:rsidR="00ED1D2B" w14:paraId="24F415A5" w14:textId="77777777">
        <w:tc>
          <w:tcPr>
            <w:tcW w:w="675" w:type="dxa"/>
          </w:tcPr>
          <w:p w14:paraId="68300603" w14:textId="77777777" w:rsidR="00ED1D2B" w:rsidRDefault="00ED1D2B" w:rsidP="0013088E">
            <w:pPr>
              <w:widowControl w:val="0"/>
              <w:autoSpaceDE w:val="0"/>
              <w:autoSpaceDN w:val="0"/>
              <w:adjustRightInd w:val="0"/>
            </w:pPr>
          </w:p>
        </w:tc>
        <w:tc>
          <w:tcPr>
            <w:tcW w:w="237" w:type="dxa"/>
          </w:tcPr>
          <w:p w14:paraId="15638E30" w14:textId="77777777" w:rsidR="00ED1D2B" w:rsidRDefault="00ED1D2B" w:rsidP="00ED1D2B">
            <w:pPr>
              <w:widowControl w:val="0"/>
              <w:autoSpaceDE w:val="0"/>
              <w:autoSpaceDN w:val="0"/>
              <w:adjustRightInd w:val="0"/>
              <w:ind w:left="-135" w:right="-75"/>
              <w:jc w:val="center"/>
            </w:pPr>
          </w:p>
        </w:tc>
        <w:tc>
          <w:tcPr>
            <w:tcW w:w="6504" w:type="dxa"/>
            <w:gridSpan w:val="2"/>
          </w:tcPr>
          <w:p w14:paraId="27528CE6" w14:textId="77777777" w:rsidR="00ED1D2B" w:rsidRDefault="00ED1D2B" w:rsidP="0013088E">
            <w:pPr>
              <w:widowControl w:val="0"/>
              <w:autoSpaceDE w:val="0"/>
              <w:autoSpaceDN w:val="0"/>
              <w:adjustRightInd w:val="0"/>
            </w:pPr>
          </w:p>
        </w:tc>
      </w:tr>
      <w:tr w:rsidR="00ED1D2B" w14:paraId="2BE6512F" w14:textId="77777777">
        <w:tc>
          <w:tcPr>
            <w:tcW w:w="675" w:type="dxa"/>
          </w:tcPr>
          <w:p w14:paraId="42EF165C" w14:textId="77777777" w:rsidR="00ED1D2B" w:rsidRDefault="00ED1D2B" w:rsidP="0013088E">
            <w:pPr>
              <w:widowControl w:val="0"/>
              <w:autoSpaceDE w:val="0"/>
              <w:autoSpaceDN w:val="0"/>
              <w:adjustRightInd w:val="0"/>
            </w:pPr>
            <w:r>
              <w:t>UF</w:t>
            </w:r>
          </w:p>
        </w:tc>
        <w:tc>
          <w:tcPr>
            <w:tcW w:w="243" w:type="dxa"/>
            <w:gridSpan w:val="2"/>
          </w:tcPr>
          <w:p w14:paraId="6939A2D5" w14:textId="77777777" w:rsidR="00ED1D2B" w:rsidRDefault="00ED1D2B" w:rsidP="00ED1D2B">
            <w:pPr>
              <w:widowControl w:val="0"/>
              <w:autoSpaceDE w:val="0"/>
              <w:autoSpaceDN w:val="0"/>
              <w:adjustRightInd w:val="0"/>
              <w:ind w:left="-120" w:right="-75"/>
              <w:jc w:val="center"/>
            </w:pPr>
            <w:r>
              <w:t>=</w:t>
            </w:r>
          </w:p>
        </w:tc>
        <w:tc>
          <w:tcPr>
            <w:tcW w:w="6498" w:type="dxa"/>
          </w:tcPr>
          <w:p w14:paraId="6328B64B" w14:textId="77777777" w:rsidR="00ED1D2B" w:rsidRDefault="00ED1D2B" w:rsidP="0013088E">
            <w:pPr>
              <w:widowControl w:val="0"/>
              <w:autoSpaceDE w:val="0"/>
              <w:autoSpaceDN w:val="0"/>
              <w:adjustRightInd w:val="0"/>
            </w:pPr>
            <w:r>
              <w:t>Uncertainty Factor of 10, used only when data are for exposure periods less than 90 days. In the case of fetotoxicity and teratogenicity studies, an Uncertainty Factor of 1 must be used.</w:t>
            </w:r>
          </w:p>
        </w:tc>
      </w:tr>
    </w:tbl>
    <w:p w14:paraId="3DC54E2B" w14:textId="77777777" w:rsidR="006C25DF" w:rsidRDefault="006C25DF" w:rsidP="0013088E">
      <w:pPr>
        <w:widowControl w:val="0"/>
        <w:autoSpaceDE w:val="0"/>
        <w:autoSpaceDN w:val="0"/>
        <w:adjustRightInd w:val="0"/>
      </w:pPr>
    </w:p>
    <w:p w14:paraId="55549625" w14:textId="77777777" w:rsidR="0013088E" w:rsidRDefault="0013088E" w:rsidP="0013088E">
      <w:pPr>
        <w:widowControl w:val="0"/>
        <w:autoSpaceDE w:val="0"/>
        <w:autoSpaceDN w:val="0"/>
        <w:adjustRightInd w:val="0"/>
        <w:ind w:left="2160" w:hanging="720"/>
      </w:pPr>
      <w:r>
        <w:t>2)</w:t>
      </w:r>
      <w:r>
        <w:tab/>
        <w:t xml:space="preserve">Where the exposure is oral use the following: </w:t>
      </w:r>
    </w:p>
    <w:p w14:paraId="2910F112" w14:textId="77777777" w:rsidR="00343BE5" w:rsidRDefault="00343BE5" w:rsidP="007936B2">
      <w:pPr>
        <w:widowControl w:val="0"/>
        <w:autoSpaceDE w:val="0"/>
        <w:autoSpaceDN w:val="0"/>
        <w:adjustRightInd w:val="0"/>
      </w:pPr>
    </w:p>
    <w:p w14:paraId="09FCFB09" w14:textId="77777777" w:rsidR="00ED1D2B" w:rsidRDefault="00ED1D2B" w:rsidP="00ED1D2B">
      <w:pPr>
        <w:widowControl w:val="0"/>
        <w:autoSpaceDE w:val="0"/>
        <w:autoSpaceDN w:val="0"/>
        <w:adjustRightInd w:val="0"/>
        <w:ind w:left="2160" w:firstLine="6"/>
      </w:pPr>
      <w:r>
        <w:t>A)</w:t>
      </w:r>
      <w:r>
        <w:tab/>
        <w:t>Oral Exposure via Food:</w:t>
      </w:r>
    </w:p>
    <w:p w14:paraId="49374449" w14:textId="77777777" w:rsidR="00ED1D2B" w:rsidRDefault="00ED1D2B" w:rsidP="007936B2">
      <w:pPr>
        <w:widowControl w:val="0"/>
        <w:autoSpaceDE w:val="0"/>
        <w:autoSpaceDN w:val="0"/>
        <w:adjustRightInd w:val="0"/>
      </w:pPr>
    </w:p>
    <w:tbl>
      <w:tblPr>
        <w:tblW w:w="0" w:type="auto"/>
        <w:tblInd w:w="2901" w:type="dxa"/>
        <w:tblLayout w:type="fixed"/>
        <w:tblLook w:val="0000" w:firstRow="0" w:lastRow="0" w:firstColumn="0" w:lastColumn="0" w:noHBand="0" w:noVBand="0"/>
      </w:tblPr>
      <w:tblGrid>
        <w:gridCol w:w="456"/>
        <w:gridCol w:w="236"/>
        <w:gridCol w:w="5983"/>
      </w:tblGrid>
      <w:tr w:rsidR="00ED1D2B" w:rsidRPr="006C25DF" w14:paraId="5275D6B3" w14:textId="77777777">
        <w:tc>
          <w:tcPr>
            <w:tcW w:w="456" w:type="dxa"/>
          </w:tcPr>
          <w:p w14:paraId="68439150" w14:textId="77777777" w:rsidR="00ED1D2B" w:rsidRDefault="00ED1D2B" w:rsidP="00ED1D2B">
            <w:pPr>
              <w:widowControl w:val="0"/>
              <w:autoSpaceDE w:val="0"/>
              <w:autoSpaceDN w:val="0"/>
              <w:adjustRightInd w:val="0"/>
            </w:pPr>
            <w:r>
              <w:t>I</w:t>
            </w:r>
          </w:p>
        </w:tc>
        <w:tc>
          <w:tcPr>
            <w:tcW w:w="236" w:type="dxa"/>
          </w:tcPr>
          <w:p w14:paraId="032AA061" w14:textId="77777777" w:rsidR="00ED1D2B" w:rsidRDefault="00ED1D2B" w:rsidP="00ED1D2B">
            <w:pPr>
              <w:widowControl w:val="0"/>
              <w:autoSpaceDE w:val="0"/>
              <w:autoSpaceDN w:val="0"/>
              <w:adjustRightInd w:val="0"/>
              <w:ind w:left="-135" w:right="-75"/>
              <w:jc w:val="center"/>
            </w:pPr>
            <w:r>
              <w:t>=</w:t>
            </w:r>
          </w:p>
        </w:tc>
        <w:tc>
          <w:tcPr>
            <w:tcW w:w="5983" w:type="dxa"/>
          </w:tcPr>
          <w:p w14:paraId="15575573" w14:textId="77777777" w:rsidR="00ED1D2B" w:rsidRPr="006C25DF" w:rsidRDefault="00ED1D2B" w:rsidP="00ED1D2B">
            <w:pPr>
              <w:widowControl w:val="0"/>
              <w:autoSpaceDE w:val="0"/>
              <w:autoSpaceDN w:val="0"/>
              <w:adjustRightInd w:val="0"/>
            </w:pPr>
            <w:r>
              <w:t>Food Intake in kilogram of food ingested per kilogram of body weight per day (kg/kg-d) (refer to Chart 1 for standard values);</w:t>
            </w:r>
          </w:p>
        </w:tc>
      </w:tr>
      <w:tr w:rsidR="00ED1D2B" w14:paraId="487A02BF" w14:textId="77777777">
        <w:tc>
          <w:tcPr>
            <w:tcW w:w="456" w:type="dxa"/>
          </w:tcPr>
          <w:p w14:paraId="0DBA6B2B" w14:textId="77777777" w:rsidR="00ED1D2B" w:rsidRDefault="00ED1D2B" w:rsidP="00ED1D2B">
            <w:pPr>
              <w:widowControl w:val="0"/>
              <w:autoSpaceDE w:val="0"/>
              <w:autoSpaceDN w:val="0"/>
              <w:adjustRightInd w:val="0"/>
            </w:pPr>
          </w:p>
        </w:tc>
        <w:tc>
          <w:tcPr>
            <w:tcW w:w="236" w:type="dxa"/>
          </w:tcPr>
          <w:p w14:paraId="43AE17CE" w14:textId="77777777" w:rsidR="00ED1D2B" w:rsidRDefault="00ED1D2B" w:rsidP="00ED1D2B">
            <w:pPr>
              <w:widowControl w:val="0"/>
              <w:autoSpaceDE w:val="0"/>
              <w:autoSpaceDN w:val="0"/>
              <w:adjustRightInd w:val="0"/>
              <w:ind w:left="-135" w:right="-75"/>
              <w:jc w:val="center"/>
            </w:pPr>
          </w:p>
        </w:tc>
        <w:tc>
          <w:tcPr>
            <w:tcW w:w="5983" w:type="dxa"/>
          </w:tcPr>
          <w:p w14:paraId="08D402BF" w14:textId="77777777" w:rsidR="00ED1D2B" w:rsidRDefault="00ED1D2B" w:rsidP="00ED1D2B">
            <w:pPr>
              <w:widowControl w:val="0"/>
              <w:autoSpaceDE w:val="0"/>
              <w:autoSpaceDN w:val="0"/>
              <w:adjustRightInd w:val="0"/>
            </w:pPr>
          </w:p>
        </w:tc>
      </w:tr>
      <w:tr w:rsidR="00ED1D2B" w14:paraId="2A742750" w14:textId="77777777">
        <w:tc>
          <w:tcPr>
            <w:tcW w:w="456" w:type="dxa"/>
          </w:tcPr>
          <w:p w14:paraId="0BC83D6B" w14:textId="77777777" w:rsidR="00ED1D2B" w:rsidRDefault="00ED1D2B" w:rsidP="00ED1D2B">
            <w:pPr>
              <w:widowControl w:val="0"/>
              <w:autoSpaceDE w:val="0"/>
              <w:autoSpaceDN w:val="0"/>
              <w:adjustRightInd w:val="0"/>
            </w:pPr>
            <w:r>
              <w:t>C</w:t>
            </w:r>
          </w:p>
        </w:tc>
        <w:tc>
          <w:tcPr>
            <w:tcW w:w="236" w:type="dxa"/>
          </w:tcPr>
          <w:p w14:paraId="1BE8F828" w14:textId="77777777" w:rsidR="00ED1D2B" w:rsidRDefault="00ED1D2B" w:rsidP="00ED1D2B">
            <w:pPr>
              <w:widowControl w:val="0"/>
              <w:autoSpaceDE w:val="0"/>
              <w:autoSpaceDN w:val="0"/>
              <w:adjustRightInd w:val="0"/>
              <w:ind w:left="-120" w:right="-75"/>
              <w:jc w:val="center"/>
            </w:pPr>
            <w:r>
              <w:t>=</w:t>
            </w:r>
          </w:p>
        </w:tc>
        <w:tc>
          <w:tcPr>
            <w:tcW w:w="5983" w:type="dxa"/>
          </w:tcPr>
          <w:p w14:paraId="5384D88B" w14:textId="77777777" w:rsidR="00ED1D2B" w:rsidRDefault="00ED1D2B" w:rsidP="00ED1D2B">
            <w:pPr>
              <w:widowControl w:val="0"/>
              <w:autoSpaceDE w:val="0"/>
              <w:autoSpaceDN w:val="0"/>
              <w:adjustRightInd w:val="0"/>
            </w:pPr>
            <w:r>
              <w:t>Contaminant Concentration in food in units of milligram per kilogram (mg/kg); or</w:t>
            </w:r>
          </w:p>
        </w:tc>
      </w:tr>
    </w:tbl>
    <w:p w14:paraId="4514E13C" w14:textId="77777777" w:rsidR="00ED1D2B" w:rsidRDefault="00ED1D2B" w:rsidP="007936B2">
      <w:pPr>
        <w:widowControl w:val="0"/>
        <w:autoSpaceDE w:val="0"/>
        <w:autoSpaceDN w:val="0"/>
        <w:adjustRightInd w:val="0"/>
      </w:pPr>
    </w:p>
    <w:p w14:paraId="4D1184FA" w14:textId="77777777" w:rsidR="00ED1D2B" w:rsidRDefault="00ED1D2B" w:rsidP="00ED1D2B">
      <w:pPr>
        <w:widowControl w:val="0"/>
        <w:autoSpaceDE w:val="0"/>
        <w:autoSpaceDN w:val="0"/>
        <w:adjustRightInd w:val="0"/>
        <w:ind w:left="2160" w:firstLine="6"/>
      </w:pPr>
      <w:r>
        <w:t>B)</w:t>
      </w:r>
      <w:r>
        <w:tab/>
        <w:t>Oral Exposure via Water:</w:t>
      </w:r>
    </w:p>
    <w:p w14:paraId="34273DEB" w14:textId="77777777" w:rsidR="00CB053A" w:rsidRDefault="00CB053A" w:rsidP="00CB053A">
      <w:pPr>
        <w:widowControl w:val="0"/>
        <w:autoSpaceDE w:val="0"/>
        <w:autoSpaceDN w:val="0"/>
        <w:adjustRightInd w:val="0"/>
      </w:pPr>
    </w:p>
    <w:tbl>
      <w:tblPr>
        <w:tblW w:w="0" w:type="auto"/>
        <w:tblInd w:w="2901" w:type="dxa"/>
        <w:tblLayout w:type="fixed"/>
        <w:tblLook w:val="0000" w:firstRow="0" w:lastRow="0" w:firstColumn="0" w:lastColumn="0" w:noHBand="0" w:noVBand="0"/>
      </w:tblPr>
      <w:tblGrid>
        <w:gridCol w:w="399"/>
        <w:gridCol w:w="246"/>
        <w:gridCol w:w="6030"/>
      </w:tblGrid>
      <w:tr w:rsidR="00ED1D2B" w:rsidRPr="006C25DF" w14:paraId="6E17A475" w14:textId="77777777">
        <w:tc>
          <w:tcPr>
            <w:tcW w:w="399" w:type="dxa"/>
          </w:tcPr>
          <w:p w14:paraId="607F24B4" w14:textId="77777777" w:rsidR="00ED1D2B" w:rsidRDefault="00ED1D2B" w:rsidP="00ED1D2B">
            <w:pPr>
              <w:widowControl w:val="0"/>
              <w:autoSpaceDE w:val="0"/>
              <w:autoSpaceDN w:val="0"/>
              <w:adjustRightInd w:val="0"/>
            </w:pPr>
            <w:r>
              <w:t>I</w:t>
            </w:r>
          </w:p>
        </w:tc>
        <w:tc>
          <w:tcPr>
            <w:tcW w:w="246" w:type="dxa"/>
          </w:tcPr>
          <w:p w14:paraId="08B00069" w14:textId="77777777" w:rsidR="00ED1D2B" w:rsidRDefault="00ED1D2B" w:rsidP="00ED1D2B">
            <w:pPr>
              <w:widowControl w:val="0"/>
              <w:autoSpaceDE w:val="0"/>
              <w:autoSpaceDN w:val="0"/>
              <w:adjustRightInd w:val="0"/>
              <w:ind w:left="-135" w:right="-75"/>
              <w:jc w:val="center"/>
            </w:pPr>
            <w:r>
              <w:t>=</w:t>
            </w:r>
          </w:p>
        </w:tc>
        <w:tc>
          <w:tcPr>
            <w:tcW w:w="6030" w:type="dxa"/>
          </w:tcPr>
          <w:p w14:paraId="630C68A6" w14:textId="77777777" w:rsidR="00ED1D2B" w:rsidRPr="006C25DF" w:rsidRDefault="00ED1D2B" w:rsidP="00ED1D2B">
            <w:pPr>
              <w:widowControl w:val="0"/>
              <w:autoSpaceDE w:val="0"/>
              <w:autoSpaceDN w:val="0"/>
              <w:adjustRightInd w:val="0"/>
            </w:pPr>
            <w:r>
              <w:t xml:space="preserve">Water Intake in liter of water ingested per kilogram of body weight per day (L/kg-d) (refer to Chart 1 for standard </w:t>
            </w:r>
            <w:r>
              <w:lastRenderedPageBreak/>
              <w:t>values);</w:t>
            </w:r>
          </w:p>
        </w:tc>
      </w:tr>
      <w:tr w:rsidR="00ED1D2B" w14:paraId="21C3C0E8" w14:textId="77777777">
        <w:tc>
          <w:tcPr>
            <w:tcW w:w="399" w:type="dxa"/>
          </w:tcPr>
          <w:p w14:paraId="1C0D1BE2" w14:textId="77777777" w:rsidR="00ED1D2B" w:rsidRDefault="00ED1D2B" w:rsidP="00ED1D2B">
            <w:pPr>
              <w:widowControl w:val="0"/>
              <w:autoSpaceDE w:val="0"/>
              <w:autoSpaceDN w:val="0"/>
              <w:adjustRightInd w:val="0"/>
            </w:pPr>
          </w:p>
        </w:tc>
        <w:tc>
          <w:tcPr>
            <w:tcW w:w="246" w:type="dxa"/>
          </w:tcPr>
          <w:p w14:paraId="3DF37ED9" w14:textId="77777777" w:rsidR="00ED1D2B" w:rsidRDefault="00ED1D2B" w:rsidP="00ED1D2B">
            <w:pPr>
              <w:widowControl w:val="0"/>
              <w:autoSpaceDE w:val="0"/>
              <w:autoSpaceDN w:val="0"/>
              <w:adjustRightInd w:val="0"/>
              <w:ind w:left="-135" w:right="-75"/>
              <w:jc w:val="center"/>
            </w:pPr>
          </w:p>
        </w:tc>
        <w:tc>
          <w:tcPr>
            <w:tcW w:w="6030" w:type="dxa"/>
          </w:tcPr>
          <w:p w14:paraId="41562B31" w14:textId="77777777" w:rsidR="00ED1D2B" w:rsidRDefault="00ED1D2B" w:rsidP="00ED1D2B">
            <w:pPr>
              <w:widowControl w:val="0"/>
              <w:autoSpaceDE w:val="0"/>
              <w:autoSpaceDN w:val="0"/>
              <w:adjustRightInd w:val="0"/>
            </w:pPr>
          </w:p>
        </w:tc>
      </w:tr>
      <w:tr w:rsidR="00ED1D2B" w14:paraId="50B5D4F8" w14:textId="77777777">
        <w:tc>
          <w:tcPr>
            <w:tcW w:w="399" w:type="dxa"/>
          </w:tcPr>
          <w:p w14:paraId="6DCC5068" w14:textId="77777777" w:rsidR="00ED1D2B" w:rsidRDefault="00ED1D2B" w:rsidP="00ED1D2B">
            <w:pPr>
              <w:widowControl w:val="0"/>
              <w:autoSpaceDE w:val="0"/>
              <w:autoSpaceDN w:val="0"/>
              <w:adjustRightInd w:val="0"/>
            </w:pPr>
            <w:r>
              <w:t>C</w:t>
            </w:r>
          </w:p>
        </w:tc>
        <w:tc>
          <w:tcPr>
            <w:tcW w:w="246" w:type="dxa"/>
          </w:tcPr>
          <w:p w14:paraId="52359499" w14:textId="77777777" w:rsidR="00ED1D2B" w:rsidRDefault="00ED1D2B" w:rsidP="00ED1D2B">
            <w:pPr>
              <w:widowControl w:val="0"/>
              <w:autoSpaceDE w:val="0"/>
              <w:autoSpaceDN w:val="0"/>
              <w:adjustRightInd w:val="0"/>
              <w:ind w:left="-120" w:right="-75"/>
              <w:jc w:val="center"/>
            </w:pPr>
            <w:r>
              <w:t>=</w:t>
            </w:r>
          </w:p>
        </w:tc>
        <w:tc>
          <w:tcPr>
            <w:tcW w:w="6030" w:type="dxa"/>
          </w:tcPr>
          <w:p w14:paraId="6C92A44B" w14:textId="77777777" w:rsidR="00ED1D2B" w:rsidRDefault="00ED1D2B" w:rsidP="00ED1D2B">
            <w:pPr>
              <w:widowControl w:val="0"/>
              <w:autoSpaceDE w:val="0"/>
              <w:autoSpaceDN w:val="0"/>
              <w:adjustRightInd w:val="0"/>
            </w:pPr>
            <w:r>
              <w:t>Contaminant Concentration in water in units of milligram per liter (mg/L);</w:t>
            </w:r>
          </w:p>
        </w:tc>
      </w:tr>
    </w:tbl>
    <w:p w14:paraId="6AB81485" w14:textId="77777777" w:rsidR="00ED1D2B" w:rsidRDefault="00ED1D2B" w:rsidP="00CB053A">
      <w:pPr>
        <w:widowControl w:val="0"/>
        <w:autoSpaceDE w:val="0"/>
        <w:autoSpaceDN w:val="0"/>
        <w:adjustRightInd w:val="0"/>
      </w:pPr>
    </w:p>
    <w:p w14:paraId="32F817C5" w14:textId="77777777" w:rsidR="0013088E" w:rsidRDefault="00CB053A" w:rsidP="0013088E">
      <w:pPr>
        <w:widowControl w:val="0"/>
        <w:autoSpaceDE w:val="0"/>
        <w:autoSpaceDN w:val="0"/>
        <w:adjustRightInd w:val="0"/>
        <w:ind w:left="2160" w:hanging="720"/>
      </w:pPr>
      <w:r>
        <w:t>3)</w:t>
      </w:r>
      <w:r>
        <w:tab/>
      </w:r>
      <w:r w:rsidR="0013088E">
        <w:t xml:space="preserve">Where the exposure is via gavage use the following: </w:t>
      </w:r>
    </w:p>
    <w:p w14:paraId="72B4B828" w14:textId="77777777" w:rsidR="00343BE5" w:rsidRDefault="00343BE5" w:rsidP="007936B2">
      <w:pPr>
        <w:widowControl w:val="0"/>
        <w:autoSpaceDE w:val="0"/>
        <w:autoSpaceDN w:val="0"/>
        <w:adjustRightInd w:val="0"/>
      </w:pPr>
    </w:p>
    <w:p w14:paraId="1A09BD56" w14:textId="77777777" w:rsidR="0013088E" w:rsidRDefault="0013088E" w:rsidP="00CB053A">
      <w:pPr>
        <w:widowControl w:val="0"/>
        <w:autoSpaceDE w:val="0"/>
        <w:autoSpaceDN w:val="0"/>
        <w:adjustRightInd w:val="0"/>
        <w:ind w:left="2160"/>
      </w:pPr>
      <w:r>
        <w:t xml:space="preserve">The product (I X C) in the above equation must be replaced by Gavage Dose (GD) in units of milligram of contaminant ingested per kilogram of body weight per day (mg/kg-d); or </w:t>
      </w:r>
    </w:p>
    <w:p w14:paraId="02B147D0" w14:textId="77777777" w:rsidR="00343BE5" w:rsidRDefault="00343BE5" w:rsidP="007936B2">
      <w:pPr>
        <w:widowControl w:val="0"/>
        <w:autoSpaceDE w:val="0"/>
        <w:autoSpaceDN w:val="0"/>
        <w:adjustRightInd w:val="0"/>
      </w:pPr>
    </w:p>
    <w:p w14:paraId="661CB98C" w14:textId="77777777" w:rsidR="0013088E" w:rsidRDefault="0013088E" w:rsidP="0013088E">
      <w:pPr>
        <w:widowControl w:val="0"/>
        <w:autoSpaceDE w:val="0"/>
        <w:autoSpaceDN w:val="0"/>
        <w:adjustRightInd w:val="0"/>
        <w:ind w:left="2160" w:hanging="720"/>
      </w:pPr>
      <w:r>
        <w:t>4)</w:t>
      </w:r>
      <w:r>
        <w:tab/>
        <w:t xml:space="preserve">Where the exposure is via inhalation use the following: </w:t>
      </w:r>
    </w:p>
    <w:p w14:paraId="77071889" w14:textId="77777777" w:rsidR="00ED1D2B" w:rsidRDefault="00ED1D2B" w:rsidP="007936B2">
      <w:pPr>
        <w:widowControl w:val="0"/>
        <w:autoSpaceDE w:val="0"/>
        <w:autoSpaceDN w:val="0"/>
        <w:adjustRightInd w:val="0"/>
      </w:pPr>
    </w:p>
    <w:tbl>
      <w:tblPr>
        <w:tblW w:w="0" w:type="auto"/>
        <w:tblInd w:w="2217" w:type="dxa"/>
        <w:tblLayout w:type="fixed"/>
        <w:tblLook w:val="0000" w:firstRow="0" w:lastRow="0" w:firstColumn="0" w:lastColumn="0" w:noHBand="0" w:noVBand="0"/>
      </w:tblPr>
      <w:tblGrid>
        <w:gridCol w:w="399"/>
        <w:gridCol w:w="236"/>
        <w:gridCol w:w="6724"/>
      </w:tblGrid>
      <w:tr w:rsidR="00ED1D2B" w:rsidRPr="006C25DF" w14:paraId="7D0B6A08" w14:textId="77777777">
        <w:tc>
          <w:tcPr>
            <w:tcW w:w="399" w:type="dxa"/>
          </w:tcPr>
          <w:p w14:paraId="66452718" w14:textId="77777777" w:rsidR="00ED1D2B" w:rsidRDefault="00ED1D2B" w:rsidP="00ED1D2B">
            <w:pPr>
              <w:widowControl w:val="0"/>
              <w:autoSpaceDE w:val="0"/>
              <w:autoSpaceDN w:val="0"/>
              <w:adjustRightInd w:val="0"/>
            </w:pPr>
            <w:r>
              <w:t>I</w:t>
            </w:r>
          </w:p>
        </w:tc>
        <w:tc>
          <w:tcPr>
            <w:tcW w:w="236" w:type="dxa"/>
          </w:tcPr>
          <w:p w14:paraId="05F9B025" w14:textId="77777777" w:rsidR="00ED1D2B" w:rsidRDefault="00ED1D2B" w:rsidP="00ED1D2B">
            <w:pPr>
              <w:widowControl w:val="0"/>
              <w:autoSpaceDE w:val="0"/>
              <w:autoSpaceDN w:val="0"/>
              <w:adjustRightInd w:val="0"/>
              <w:ind w:left="-135" w:right="-75"/>
              <w:jc w:val="center"/>
            </w:pPr>
            <w:r>
              <w:t>=</w:t>
            </w:r>
          </w:p>
        </w:tc>
        <w:tc>
          <w:tcPr>
            <w:tcW w:w="6724" w:type="dxa"/>
          </w:tcPr>
          <w:p w14:paraId="56E7288C" w14:textId="77777777" w:rsidR="00ED1D2B" w:rsidRPr="006C25DF" w:rsidRDefault="00ED1D2B" w:rsidP="00ED1D2B">
            <w:pPr>
              <w:widowControl w:val="0"/>
              <w:autoSpaceDE w:val="0"/>
              <w:autoSpaceDN w:val="0"/>
              <w:adjustRightInd w:val="0"/>
            </w:pPr>
            <w:r>
              <w:t>Air intake in cubic meter of air inhaled per kilogram of body weight per day (cu.m3/kg-d) measured as the product of Ventilation Rate (VR) (refer to Chart 1 for standard values) and Inhalation retention factor (RF) (assumed to be 0.5 for this procedure);</w:t>
            </w:r>
          </w:p>
        </w:tc>
      </w:tr>
      <w:tr w:rsidR="00ED1D2B" w14:paraId="1C9CC185" w14:textId="77777777">
        <w:tc>
          <w:tcPr>
            <w:tcW w:w="399" w:type="dxa"/>
          </w:tcPr>
          <w:p w14:paraId="39EFB9AE" w14:textId="77777777" w:rsidR="00ED1D2B" w:rsidRDefault="00ED1D2B" w:rsidP="00ED1D2B">
            <w:pPr>
              <w:widowControl w:val="0"/>
              <w:autoSpaceDE w:val="0"/>
              <w:autoSpaceDN w:val="0"/>
              <w:adjustRightInd w:val="0"/>
            </w:pPr>
          </w:p>
        </w:tc>
        <w:tc>
          <w:tcPr>
            <w:tcW w:w="236" w:type="dxa"/>
          </w:tcPr>
          <w:p w14:paraId="3CB31CF5" w14:textId="77777777" w:rsidR="00ED1D2B" w:rsidRDefault="00ED1D2B" w:rsidP="00ED1D2B">
            <w:pPr>
              <w:widowControl w:val="0"/>
              <w:autoSpaceDE w:val="0"/>
              <w:autoSpaceDN w:val="0"/>
              <w:adjustRightInd w:val="0"/>
              <w:ind w:left="-135" w:right="-75"/>
              <w:jc w:val="center"/>
            </w:pPr>
          </w:p>
        </w:tc>
        <w:tc>
          <w:tcPr>
            <w:tcW w:w="6724" w:type="dxa"/>
          </w:tcPr>
          <w:p w14:paraId="3E6AA730" w14:textId="77777777" w:rsidR="00ED1D2B" w:rsidRDefault="00ED1D2B" w:rsidP="00ED1D2B">
            <w:pPr>
              <w:widowControl w:val="0"/>
              <w:autoSpaceDE w:val="0"/>
              <w:autoSpaceDN w:val="0"/>
              <w:adjustRightInd w:val="0"/>
            </w:pPr>
          </w:p>
        </w:tc>
      </w:tr>
      <w:tr w:rsidR="00ED1D2B" w14:paraId="0039E12B" w14:textId="77777777">
        <w:tc>
          <w:tcPr>
            <w:tcW w:w="399" w:type="dxa"/>
          </w:tcPr>
          <w:p w14:paraId="44B8C011" w14:textId="77777777" w:rsidR="00ED1D2B" w:rsidRDefault="00ED1D2B" w:rsidP="00ED1D2B">
            <w:pPr>
              <w:widowControl w:val="0"/>
              <w:autoSpaceDE w:val="0"/>
              <w:autoSpaceDN w:val="0"/>
              <w:adjustRightInd w:val="0"/>
            </w:pPr>
            <w:r>
              <w:t>C</w:t>
            </w:r>
          </w:p>
        </w:tc>
        <w:tc>
          <w:tcPr>
            <w:tcW w:w="236" w:type="dxa"/>
          </w:tcPr>
          <w:p w14:paraId="7EAD2137" w14:textId="77777777" w:rsidR="00ED1D2B" w:rsidRDefault="00ED1D2B" w:rsidP="00ED1D2B">
            <w:pPr>
              <w:widowControl w:val="0"/>
              <w:autoSpaceDE w:val="0"/>
              <w:autoSpaceDN w:val="0"/>
              <w:adjustRightInd w:val="0"/>
              <w:ind w:left="-120" w:right="-75"/>
              <w:jc w:val="center"/>
            </w:pPr>
            <w:r>
              <w:t>=</w:t>
            </w:r>
          </w:p>
        </w:tc>
        <w:tc>
          <w:tcPr>
            <w:tcW w:w="6724" w:type="dxa"/>
          </w:tcPr>
          <w:p w14:paraId="52E04167" w14:textId="77777777" w:rsidR="00ED1D2B" w:rsidRDefault="00ED1D2B" w:rsidP="00ED1D2B">
            <w:pPr>
              <w:widowControl w:val="0"/>
              <w:autoSpaceDE w:val="0"/>
              <w:autoSpaceDN w:val="0"/>
              <w:adjustRightInd w:val="0"/>
            </w:pPr>
            <w:r>
              <w:t>Contaminant Concentration in air in units of milligram per cubic meter (mg/</w:t>
            </w:r>
            <w:proofErr w:type="spellStart"/>
            <w:r>
              <w:t>cu.m</w:t>
            </w:r>
            <w:proofErr w:type="spellEnd"/>
            <w:r>
              <w:t>).</w:t>
            </w:r>
          </w:p>
        </w:tc>
      </w:tr>
    </w:tbl>
    <w:p w14:paraId="477FCC71" w14:textId="77777777" w:rsidR="0013088E" w:rsidRDefault="0013088E" w:rsidP="0013088E">
      <w:pPr>
        <w:widowControl w:val="0"/>
        <w:autoSpaceDE w:val="0"/>
        <w:autoSpaceDN w:val="0"/>
        <w:adjustRightInd w:val="0"/>
      </w:pPr>
    </w:p>
    <w:tbl>
      <w:tblPr>
        <w:tblW w:w="0" w:type="auto"/>
        <w:tblInd w:w="2160" w:type="dxa"/>
        <w:tblLook w:val="0000" w:firstRow="0" w:lastRow="0" w:firstColumn="0" w:lastColumn="0" w:noHBand="0" w:noVBand="0"/>
      </w:tblPr>
      <w:tblGrid>
        <w:gridCol w:w="1824"/>
        <w:gridCol w:w="2052"/>
        <w:gridCol w:w="1938"/>
        <w:gridCol w:w="1602"/>
      </w:tblGrid>
      <w:tr w:rsidR="00022E9E" w14:paraId="13530B7E" w14:textId="77777777">
        <w:tc>
          <w:tcPr>
            <w:tcW w:w="7416" w:type="dxa"/>
            <w:gridSpan w:val="4"/>
          </w:tcPr>
          <w:p w14:paraId="0CD2F022" w14:textId="77777777" w:rsidR="00022E9E" w:rsidRDefault="00022E9E" w:rsidP="00022E9E">
            <w:pPr>
              <w:widowControl w:val="0"/>
              <w:autoSpaceDE w:val="0"/>
              <w:autoSpaceDN w:val="0"/>
              <w:adjustRightInd w:val="0"/>
              <w:jc w:val="center"/>
            </w:pPr>
            <w:r>
              <w:t>Chart 1</w:t>
            </w:r>
          </w:p>
        </w:tc>
      </w:tr>
      <w:tr w:rsidR="00022E9E" w14:paraId="54903D7A" w14:textId="77777777">
        <w:tc>
          <w:tcPr>
            <w:tcW w:w="7416" w:type="dxa"/>
            <w:gridSpan w:val="4"/>
          </w:tcPr>
          <w:p w14:paraId="73EC8AA8" w14:textId="77777777" w:rsidR="00022E9E" w:rsidRDefault="00022E9E" w:rsidP="00022E9E">
            <w:pPr>
              <w:widowControl w:val="0"/>
              <w:autoSpaceDE w:val="0"/>
              <w:autoSpaceDN w:val="0"/>
              <w:adjustRightInd w:val="0"/>
              <w:jc w:val="center"/>
            </w:pPr>
            <w:r>
              <w:t>Summary of Physiological Parameters</w:t>
            </w:r>
          </w:p>
        </w:tc>
      </w:tr>
      <w:tr w:rsidR="00022E9E" w14:paraId="3E85FD56" w14:textId="77777777">
        <w:tc>
          <w:tcPr>
            <w:tcW w:w="1824" w:type="dxa"/>
          </w:tcPr>
          <w:p w14:paraId="3C934145" w14:textId="77777777" w:rsidR="00022E9E" w:rsidRDefault="00022E9E" w:rsidP="0013088E">
            <w:pPr>
              <w:widowControl w:val="0"/>
              <w:autoSpaceDE w:val="0"/>
              <w:autoSpaceDN w:val="0"/>
              <w:adjustRightInd w:val="0"/>
            </w:pPr>
          </w:p>
        </w:tc>
        <w:tc>
          <w:tcPr>
            <w:tcW w:w="2052" w:type="dxa"/>
          </w:tcPr>
          <w:p w14:paraId="783BC6A2" w14:textId="77777777" w:rsidR="00022E9E" w:rsidRDefault="00022E9E" w:rsidP="0013088E">
            <w:pPr>
              <w:widowControl w:val="0"/>
              <w:autoSpaceDE w:val="0"/>
              <w:autoSpaceDN w:val="0"/>
              <w:adjustRightInd w:val="0"/>
            </w:pPr>
          </w:p>
        </w:tc>
        <w:tc>
          <w:tcPr>
            <w:tcW w:w="1938" w:type="dxa"/>
          </w:tcPr>
          <w:p w14:paraId="28403B80" w14:textId="77777777" w:rsidR="00022E9E" w:rsidRDefault="00022E9E" w:rsidP="0013088E">
            <w:pPr>
              <w:widowControl w:val="0"/>
              <w:autoSpaceDE w:val="0"/>
              <w:autoSpaceDN w:val="0"/>
              <w:adjustRightInd w:val="0"/>
            </w:pPr>
          </w:p>
        </w:tc>
        <w:tc>
          <w:tcPr>
            <w:tcW w:w="1602" w:type="dxa"/>
          </w:tcPr>
          <w:p w14:paraId="433760B6" w14:textId="77777777" w:rsidR="00022E9E" w:rsidRDefault="00022E9E" w:rsidP="0013088E">
            <w:pPr>
              <w:widowControl w:val="0"/>
              <w:autoSpaceDE w:val="0"/>
              <w:autoSpaceDN w:val="0"/>
              <w:adjustRightInd w:val="0"/>
            </w:pPr>
          </w:p>
        </w:tc>
      </w:tr>
      <w:tr w:rsidR="00022E9E" w14:paraId="6EECB118" w14:textId="77777777">
        <w:tc>
          <w:tcPr>
            <w:tcW w:w="1824" w:type="dxa"/>
          </w:tcPr>
          <w:p w14:paraId="35549034" w14:textId="77777777" w:rsidR="00022E9E" w:rsidRDefault="00022E9E" w:rsidP="0013088E">
            <w:pPr>
              <w:widowControl w:val="0"/>
              <w:autoSpaceDE w:val="0"/>
              <w:autoSpaceDN w:val="0"/>
              <w:adjustRightInd w:val="0"/>
            </w:pPr>
          </w:p>
        </w:tc>
        <w:tc>
          <w:tcPr>
            <w:tcW w:w="2052" w:type="dxa"/>
          </w:tcPr>
          <w:p w14:paraId="082CEB11" w14:textId="77777777" w:rsidR="00022E9E" w:rsidRDefault="00022E9E" w:rsidP="0013088E">
            <w:pPr>
              <w:widowControl w:val="0"/>
              <w:autoSpaceDE w:val="0"/>
              <w:autoSpaceDN w:val="0"/>
              <w:adjustRightInd w:val="0"/>
            </w:pPr>
            <w:r>
              <w:t>Water Intake L/kg/day</w:t>
            </w:r>
          </w:p>
        </w:tc>
        <w:tc>
          <w:tcPr>
            <w:tcW w:w="1938" w:type="dxa"/>
          </w:tcPr>
          <w:p w14:paraId="3E42AC4A" w14:textId="77777777" w:rsidR="00022E9E" w:rsidRDefault="00022E9E" w:rsidP="0013088E">
            <w:pPr>
              <w:widowControl w:val="0"/>
              <w:autoSpaceDE w:val="0"/>
              <w:autoSpaceDN w:val="0"/>
              <w:adjustRightInd w:val="0"/>
            </w:pPr>
            <w:r>
              <w:t>Food Intake kg/kg/day</w:t>
            </w:r>
          </w:p>
        </w:tc>
        <w:tc>
          <w:tcPr>
            <w:tcW w:w="1602" w:type="dxa"/>
          </w:tcPr>
          <w:p w14:paraId="1ED866CE" w14:textId="77777777" w:rsidR="00022E9E" w:rsidRDefault="00022E9E" w:rsidP="0013088E">
            <w:pPr>
              <w:widowControl w:val="0"/>
              <w:autoSpaceDE w:val="0"/>
              <w:autoSpaceDN w:val="0"/>
              <w:adjustRightInd w:val="0"/>
            </w:pPr>
            <w:r>
              <w:t xml:space="preserve">Ventilation </w:t>
            </w:r>
            <w:proofErr w:type="spellStart"/>
            <w:r>
              <w:t>cu.m</w:t>
            </w:r>
            <w:proofErr w:type="spellEnd"/>
            <w:r>
              <w:t>/kg/day</w:t>
            </w:r>
          </w:p>
        </w:tc>
      </w:tr>
      <w:tr w:rsidR="00022E9E" w14:paraId="7A9A4A83" w14:textId="77777777">
        <w:tc>
          <w:tcPr>
            <w:tcW w:w="1824" w:type="dxa"/>
          </w:tcPr>
          <w:p w14:paraId="0952D1C5" w14:textId="77777777" w:rsidR="00022E9E" w:rsidRDefault="00022E9E" w:rsidP="0013088E">
            <w:pPr>
              <w:widowControl w:val="0"/>
              <w:autoSpaceDE w:val="0"/>
              <w:autoSpaceDN w:val="0"/>
              <w:adjustRightInd w:val="0"/>
            </w:pPr>
            <w:r>
              <w:t>Species</w:t>
            </w:r>
          </w:p>
        </w:tc>
        <w:tc>
          <w:tcPr>
            <w:tcW w:w="2052" w:type="dxa"/>
          </w:tcPr>
          <w:p w14:paraId="49462358" w14:textId="77777777" w:rsidR="00022E9E" w:rsidRDefault="00022E9E" w:rsidP="0013088E">
            <w:pPr>
              <w:widowControl w:val="0"/>
              <w:autoSpaceDE w:val="0"/>
              <w:autoSpaceDN w:val="0"/>
              <w:adjustRightInd w:val="0"/>
            </w:pPr>
          </w:p>
        </w:tc>
        <w:tc>
          <w:tcPr>
            <w:tcW w:w="1938" w:type="dxa"/>
          </w:tcPr>
          <w:p w14:paraId="22C6CA53" w14:textId="77777777" w:rsidR="00022E9E" w:rsidRDefault="00022E9E" w:rsidP="0013088E">
            <w:pPr>
              <w:widowControl w:val="0"/>
              <w:autoSpaceDE w:val="0"/>
              <w:autoSpaceDN w:val="0"/>
              <w:adjustRightInd w:val="0"/>
            </w:pPr>
          </w:p>
        </w:tc>
        <w:tc>
          <w:tcPr>
            <w:tcW w:w="1602" w:type="dxa"/>
          </w:tcPr>
          <w:p w14:paraId="3F4CA672" w14:textId="77777777" w:rsidR="00022E9E" w:rsidRDefault="00022E9E" w:rsidP="0013088E">
            <w:pPr>
              <w:widowControl w:val="0"/>
              <w:autoSpaceDE w:val="0"/>
              <w:autoSpaceDN w:val="0"/>
              <w:adjustRightInd w:val="0"/>
            </w:pPr>
          </w:p>
        </w:tc>
      </w:tr>
      <w:tr w:rsidR="00022E9E" w14:paraId="5850F8D2" w14:textId="77777777">
        <w:tc>
          <w:tcPr>
            <w:tcW w:w="1824" w:type="dxa"/>
          </w:tcPr>
          <w:p w14:paraId="0C298166" w14:textId="77777777" w:rsidR="00022E9E" w:rsidRDefault="00022E9E" w:rsidP="0013088E">
            <w:pPr>
              <w:widowControl w:val="0"/>
              <w:autoSpaceDE w:val="0"/>
              <w:autoSpaceDN w:val="0"/>
              <w:adjustRightInd w:val="0"/>
            </w:pPr>
          </w:p>
        </w:tc>
        <w:tc>
          <w:tcPr>
            <w:tcW w:w="2052" w:type="dxa"/>
          </w:tcPr>
          <w:p w14:paraId="2F55D8A2" w14:textId="77777777" w:rsidR="00022E9E" w:rsidRDefault="00022E9E" w:rsidP="0013088E">
            <w:pPr>
              <w:widowControl w:val="0"/>
              <w:autoSpaceDE w:val="0"/>
              <w:autoSpaceDN w:val="0"/>
              <w:adjustRightInd w:val="0"/>
            </w:pPr>
          </w:p>
        </w:tc>
        <w:tc>
          <w:tcPr>
            <w:tcW w:w="1938" w:type="dxa"/>
          </w:tcPr>
          <w:p w14:paraId="0B6489A2" w14:textId="77777777" w:rsidR="00022E9E" w:rsidRDefault="00022E9E" w:rsidP="0013088E">
            <w:pPr>
              <w:widowControl w:val="0"/>
              <w:autoSpaceDE w:val="0"/>
              <w:autoSpaceDN w:val="0"/>
              <w:adjustRightInd w:val="0"/>
            </w:pPr>
          </w:p>
        </w:tc>
        <w:tc>
          <w:tcPr>
            <w:tcW w:w="1602" w:type="dxa"/>
          </w:tcPr>
          <w:p w14:paraId="2B00C9F8" w14:textId="77777777" w:rsidR="00022E9E" w:rsidRDefault="00022E9E" w:rsidP="0013088E">
            <w:pPr>
              <w:widowControl w:val="0"/>
              <w:autoSpaceDE w:val="0"/>
              <w:autoSpaceDN w:val="0"/>
              <w:adjustRightInd w:val="0"/>
            </w:pPr>
          </w:p>
        </w:tc>
      </w:tr>
      <w:tr w:rsidR="00022E9E" w14:paraId="16808D62" w14:textId="77777777">
        <w:tc>
          <w:tcPr>
            <w:tcW w:w="1824" w:type="dxa"/>
          </w:tcPr>
          <w:p w14:paraId="3566864D" w14:textId="77777777" w:rsidR="00022E9E" w:rsidRDefault="00022E9E" w:rsidP="0013088E">
            <w:pPr>
              <w:widowControl w:val="0"/>
              <w:autoSpaceDE w:val="0"/>
              <w:autoSpaceDN w:val="0"/>
              <w:adjustRightInd w:val="0"/>
            </w:pPr>
            <w:r>
              <w:t>Cat</w:t>
            </w:r>
          </w:p>
        </w:tc>
        <w:tc>
          <w:tcPr>
            <w:tcW w:w="2052" w:type="dxa"/>
          </w:tcPr>
          <w:p w14:paraId="393B1509" w14:textId="77777777" w:rsidR="00022E9E" w:rsidRDefault="00022E9E" w:rsidP="0013088E">
            <w:pPr>
              <w:widowControl w:val="0"/>
              <w:autoSpaceDE w:val="0"/>
              <w:autoSpaceDN w:val="0"/>
              <w:adjustRightInd w:val="0"/>
            </w:pPr>
            <w:r>
              <w:t>0.100</w:t>
            </w:r>
          </w:p>
        </w:tc>
        <w:tc>
          <w:tcPr>
            <w:tcW w:w="1938" w:type="dxa"/>
          </w:tcPr>
          <w:p w14:paraId="2AA2C4AD" w14:textId="77777777" w:rsidR="00022E9E" w:rsidRDefault="00022E9E" w:rsidP="0013088E">
            <w:pPr>
              <w:widowControl w:val="0"/>
              <w:autoSpaceDE w:val="0"/>
              <w:autoSpaceDN w:val="0"/>
              <w:adjustRightInd w:val="0"/>
            </w:pPr>
            <w:r>
              <w:t>0.050</w:t>
            </w:r>
          </w:p>
        </w:tc>
        <w:tc>
          <w:tcPr>
            <w:tcW w:w="1602" w:type="dxa"/>
          </w:tcPr>
          <w:p w14:paraId="415FE27C" w14:textId="77777777" w:rsidR="00022E9E" w:rsidRDefault="00022E9E" w:rsidP="0013088E">
            <w:pPr>
              <w:widowControl w:val="0"/>
              <w:autoSpaceDE w:val="0"/>
              <w:autoSpaceDN w:val="0"/>
              <w:adjustRightInd w:val="0"/>
            </w:pPr>
            <w:r>
              <w:t>0.46</w:t>
            </w:r>
          </w:p>
        </w:tc>
      </w:tr>
      <w:tr w:rsidR="00022E9E" w14:paraId="3C23119E" w14:textId="77777777">
        <w:tc>
          <w:tcPr>
            <w:tcW w:w="1824" w:type="dxa"/>
          </w:tcPr>
          <w:p w14:paraId="5CBCB660" w14:textId="77777777" w:rsidR="00022E9E" w:rsidRDefault="00022E9E" w:rsidP="0013088E">
            <w:pPr>
              <w:widowControl w:val="0"/>
              <w:autoSpaceDE w:val="0"/>
              <w:autoSpaceDN w:val="0"/>
              <w:adjustRightInd w:val="0"/>
            </w:pPr>
            <w:r>
              <w:t>Dog</w:t>
            </w:r>
          </w:p>
        </w:tc>
        <w:tc>
          <w:tcPr>
            <w:tcW w:w="2052" w:type="dxa"/>
          </w:tcPr>
          <w:p w14:paraId="4EAD6F8B" w14:textId="77777777" w:rsidR="00022E9E" w:rsidRDefault="00022E9E" w:rsidP="0013088E">
            <w:pPr>
              <w:widowControl w:val="0"/>
              <w:autoSpaceDE w:val="0"/>
              <w:autoSpaceDN w:val="0"/>
              <w:adjustRightInd w:val="0"/>
            </w:pPr>
            <w:r>
              <w:t>0.025</w:t>
            </w:r>
          </w:p>
        </w:tc>
        <w:tc>
          <w:tcPr>
            <w:tcW w:w="1938" w:type="dxa"/>
          </w:tcPr>
          <w:p w14:paraId="6E9D0C32" w14:textId="77777777" w:rsidR="00022E9E" w:rsidRDefault="00022E9E" w:rsidP="0013088E">
            <w:pPr>
              <w:widowControl w:val="0"/>
              <w:autoSpaceDE w:val="0"/>
              <w:autoSpaceDN w:val="0"/>
              <w:adjustRightInd w:val="0"/>
            </w:pPr>
            <w:r>
              <w:t>0.025</w:t>
            </w:r>
          </w:p>
        </w:tc>
        <w:tc>
          <w:tcPr>
            <w:tcW w:w="1602" w:type="dxa"/>
          </w:tcPr>
          <w:p w14:paraId="19E9DF2A" w14:textId="77777777" w:rsidR="00022E9E" w:rsidRDefault="00022E9E" w:rsidP="0013088E">
            <w:pPr>
              <w:widowControl w:val="0"/>
              <w:autoSpaceDE w:val="0"/>
              <w:autoSpaceDN w:val="0"/>
              <w:adjustRightInd w:val="0"/>
            </w:pPr>
            <w:r>
              <w:t>0.31</w:t>
            </w:r>
          </w:p>
        </w:tc>
      </w:tr>
      <w:tr w:rsidR="00022E9E" w14:paraId="1D820838" w14:textId="77777777">
        <w:tc>
          <w:tcPr>
            <w:tcW w:w="1824" w:type="dxa"/>
          </w:tcPr>
          <w:p w14:paraId="2867BF8E" w14:textId="77777777" w:rsidR="00022E9E" w:rsidRDefault="00022E9E" w:rsidP="0013088E">
            <w:pPr>
              <w:widowControl w:val="0"/>
              <w:autoSpaceDE w:val="0"/>
              <w:autoSpaceDN w:val="0"/>
              <w:adjustRightInd w:val="0"/>
            </w:pPr>
            <w:r>
              <w:t>Guinea Pig</w:t>
            </w:r>
          </w:p>
        </w:tc>
        <w:tc>
          <w:tcPr>
            <w:tcW w:w="2052" w:type="dxa"/>
          </w:tcPr>
          <w:p w14:paraId="2F2C664E" w14:textId="77777777" w:rsidR="00022E9E" w:rsidRDefault="00022E9E" w:rsidP="0013088E">
            <w:pPr>
              <w:widowControl w:val="0"/>
              <w:autoSpaceDE w:val="0"/>
              <w:autoSpaceDN w:val="0"/>
              <w:adjustRightInd w:val="0"/>
            </w:pPr>
            <w:r>
              <w:t>0.075</w:t>
            </w:r>
          </w:p>
        </w:tc>
        <w:tc>
          <w:tcPr>
            <w:tcW w:w="1938" w:type="dxa"/>
          </w:tcPr>
          <w:p w14:paraId="555D8F42" w14:textId="77777777" w:rsidR="00022E9E" w:rsidRDefault="00022E9E" w:rsidP="0013088E">
            <w:pPr>
              <w:widowControl w:val="0"/>
              <w:autoSpaceDE w:val="0"/>
              <w:autoSpaceDN w:val="0"/>
              <w:adjustRightInd w:val="0"/>
            </w:pPr>
            <w:r>
              <w:t>0.040</w:t>
            </w:r>
          </w:p>
        </w:tc>
        <w:tc>
          <w:tcPr>
            <w:tcW w:w="1602" w:type="dxa"/>
          </w:tcPr>
          <w:p w14:paraId="014DB76A" w14:textId="77777777" w:rsidR="00022E9E" w:rsidRDefault="00022E9E" w:rsidP="0013088E">
            <w:pPr>
              <w:widowControl w:val="0"/>
              <w:autoSpaceDE w:val="0"/>
              <w:autoSpaceDN w:val="0"/>
              <w:adjustRightInd w:val="0"/>
            </w:pPr>
            <w:r>
              <w:t>0.58</w:t>
            </w:r>
          </w:p>
        </w:tc>
      </w:tr>
      <w:tr w:rsidR="00022E9E" w14:paraId="5E0DB14E" w14:textId="77777777">
        <w:tc>
          <w:tcPr>
            <w:tcW w:w="1824" w:type="dxa"/>
          </w:tcPr>
          <w:p w14:paraId="2082145A" w14:textId="77777777" w:rsidR="00022E9E" w:rsidRDefault="00022E9E" w:rsidP="0013088E">
            <w:pPr>
              <w:widowControl w:val="0"/>
              <w:autoSpaceDE w:val="0"/>
              <w:autoSpaceDN w:val="0"/>
              <w:adjustRightInd w:val="0"/>
            </w:pPr>
            <w:r>
              <w:t>Human</w:t>
            </w:r>
          </w:p>
        </w:tc>
        <w:tc>
          <w:tcPr>
            <w:tcW w:w="2052" w:type="dxa"/>
          </w:tcPr>
          <w:p w14:paraId="39539507" w14:textId="77777777" w:rsidR="00022E9E" w:rsidRDefault="00022E9E" w:rsidP="0013088E">
            <w:pPr>
              <w:widowControl w:val="0"/>
              <w:autoSpaceDE w:val="0"/>
              <w:autoSpaceDN w:val="0"/>
              <w:adjustRightInd w:val="0"/>
            </w:pPr>
            <w:r>
              <w:t>0.029</w:t>
            </w:r>
          </w:p>
        </w:tc>
        <w:tc>
          <w:tcPr>
            <w:tcW w:w="1938" w:type="dxa"/>
          </w:tcPr>
          <w:p w14:paraId="568904F2" w14:textId="77777777" w:rsidR="00022E9E" w:rsidRDefault="00022E9E" w:rsidP="0013088E">
            <w:pPr>
              <w:widowControl w:val="0"/>
              <w:autoSpaceDE w:val="0"/>
              <w:autoSpaceDN w:val="0"/>
              <w:adjustRightInd w:val="0"/>
            </w:pPr>
            <w:r>
              <w:t>0.025</w:t>
            </w:r>
          </w:p>
        </w:tc>
        <w:tc>
          <w:tcPr>
            <w:tcW w:w="1602" w:type="dxa"/>
          </w:tcPr>
          <w:p w14:paraId="618FA083" w14:textId="77777777" w:rsidR="00022E9E" w:rsidRDefault="00022E9E" w:rsidP="0013088E">
            <w:pPr>
              <w:widowControl w:val="0"/>
              <w:autoSpaceDE w:val="0"/>
              <w:autoSpaceDN w:val="0"/>
              <w:adjustRightInd w:val="0"/>
            </w:pPr>
            <w:r>
              <w:t>0.26</w:t>
            </w:r>
          </w:p>
        </w:tc>
      </w:tr>
      <w:tr w:rsidR="00022E9E" w14:paraId="1581F286" w14:textId="77777777">
        <w:tc>
          <w:tcPr>
            <w:tcW w:w="1824" w:type="dxa"/>
          </w:tcPr>
          <w:p w14:paraId="4E57F6DE" w14:textId="77777777" w:rsidR="00022E9E" w:rsidRDefault="00022E9E" w:rsidP="00AC0C41">
            <w:pPr>
              <w:widowControl w:val="0"/>
              <w:autoSpaceDE w:val="0"/>
              <w:autoSpaceDN w:val="0"/>
              <w:adjustRightInd w:val="0"/>
            </w:pPr>
            <w:r>
              <w:t>Monkey</w:t>
            </w:r>
          </w:p>
        </w:tc>
        <w:tc>
          <w:tcPr>
            <w:tcW w:w="2052" w:type="dxa"/>
          </w:tcPr>
          <w:p w14:paraId="1FA69451" w14:textId="77777777" w:rsidR="00022E9E" w:rsidRDefault="00022E9E" w:rsidP="00AC0C41">
            <w:pPr>
              <w:widowControl w:val="0"/>
              <w:autoSpaceDE w:val="0"/>
              <w:autoSpaceDN w:val="0"/>
              <w:adjustRightInd w:val="0"/>
            </w:pPr>
            <w:r>
              <w:t>0.14</w:t>
            </w:r>
          </w:p>
        </w:tc>
        <w:tc>
          <w:tcPr>
            <w:tcW w:w="1938" w:type="dxa"/>
          </w:tcPr>
          <w:p w14:paraId="5494AFF5" w14:textId="77777777" w:rsidR="00022E9E" w:rsidRDefault="00022E9E" w:rsidP="00AC0C41">
            <w:pPr>
              <w:widowControl w:val="0"/>
              <w:autoSpaceDE w:val="0"/>
              <w:autoSpaceDN w:val="0"/>
              <w:adjustRightInd w:val="0"/>
            </w:pPr>
            <w:r>
              <w:t>0.07</w:t>
            </w:r>
          </w:p>
        </w:tc>
        <w:tc>
          <w:tcPr>
            <w:tcW w:w="1602" w:type="dxa"/>
          </w:tcPr>
          <w:p w14:paraId="672F1D3F" w14:textId="77777777" w:rsidR="00022E9E" w:rsidRDefault="00022E9E" w:rsidP="00AC0C41">
            <w:pPr>
              <w:widowControl w:val="0"/>
              <w:autoSpaceDE w:val="0"/>
              <w:autoSpaceDN w:val="0"/>
              <w:adjustRightInd w:val="0"/>
            </w:pPr>
            <w:r>
              <w:t>0.32</w:t>
            </w:r>
          </w:p>
        </w:tc>
      </w:tr>
      <w:tr w:rsidR="00022E9E" w14:paraId="7CA2FABE" w14:textId="77777777">
        <w:tc>
          <w:tcPr>
            <w:tcW w:w="1824" w:type="dxa"/>
          </w:tcPr>
          <w:p w14:paraId="3541C317" w14:textId="77777777" w:rsidR="00022E9E" w:rsidRDefault="00022E9E" w:rsidP="00AC0C41">
            <w:pPr>
              <w:widowControl w:val="0"/>
              <w:autoSpaceDE w:val="0"/>
              <w:autoSpaceDN w:val="0"/>
              <w:adjustRightInd w:val="0"/>
            </w:pPr>
            <w:r>
              <w:t>Mouse</w:t>
            </w:r>
          </w:p>
        </w:tc>
        <w:tc>
          <w:tcPr>
            <w:tcW w:w="2052" w:type="dxa"/>
          </w:tcPr>
          <w:p w14:paraId="36E61CFA" w14:textId="77777777" w:rsidR="00022E9E" w:rsidRDefault="00022E9E" w:rsidP="00AC0C41">
            <w:pPr>
              <w:widowControl w:val="0"/>
              <w:autoSpaceDE w:val="0"/>
              <w:autoSpaceDN w:val="0"/>
              <w:adjustRightInd w:val="0"/>
            </w:pPr>
            <w:r>
              <w:t>0.25</w:t>
            </w:r>
          </w:p>
        </w:tc>
        <w:tc>
          <w:tcPr>
            <w:tcW w:w="1938" w:type="dxa"/>
          </w:tcPr>
          <w:p w14:paraId="34F27192" w14:textId="77777777" w:rsidR="00022E9E" w:rsidRDefault="00022E9E" w:rsidP="00AC0C41">
            <w:pPr>
              <w:widowControl w:val="0"/>
              <w:autoSpaceDE w:val="0"/>
              <w:autoSpaceDN w:val="0"/>
              <w:adjustRightInd w:val="0"/>
            </w:pPr>
            <w:r>
              <w:t>0.15</w:t>
            </w:r>
          </w:p>
        </w:tc>
        <w:tc>
          <w:tcPr>
            <w:tcW w:w="1602" w:type="dxa"/>
          </w:tcPr>
          <w:p w14:paraId="53FBC435" w14:textId="77777777" w:rsidR="00022E9E" w:rsidRDefault="00022E9E" w:rsidP="00AC0C41">
            <w:pPr>
              <w:widowControl w:val="0"/>
              <w:autoSpaceDE w:val="0"/>
              <w:autoSpaceDN w:val="0"/>
              <w:adjustRightInd w:val="0"/>
            </w:pPr>
            <w:r>
              <w:t>1.44</w:t>
            </w:r>
          </w:p>
        </w:tc>
      </w:tr>
      <w:tr w:rsidR="00022E9E" w14:paraId="06BC95A7" w14:textId="77777777">
        <w:tc>
          <w:tcPr>
            <w:tcW w:w="1824" w:type="dxa"/>
          </w:tcPr>
          <w:p w14:paraId="137A54E5" w14:textId="77777777" w:rsidR="00022E9E" w:rsidRDefault="00022E9E" w:rsidP="00AC0C41">
            <w:pPr>
              <w:widowControl w:val="0"/>
              <w:autoSpaceDE w:val="0"/>
              <w:autoSpaceDN w:val="0"/>
              <w:adjustRightInd w:val="0"/>
            </w:pPr>
            <w:r>
              <w:t>Rabbit</w:t>
            </w:r>
          </w:p>
        </w:tc>
        <w:tc>
          <w:tcPr>
            <w:tcW w:w="2052" w:type="dxa"/>
          </w:tcPr>
          <w:p w14:paraId="5717910F" w14:textId="77777777" w:rsidR="00022E9E" w:rsidRDefault="00022E9E" w:rsidP="00AC0C41">
            <w:pPr>
              <w:widowControl w:val="0"/>
              <w:autoSpaceDE w:val="0"/>
              <w:autoSpaceDN w:val="0"/>
              <w:adjustRightInd w:val="0"/>
            </w:pPr>
            <w:r>
              <w:t>0.065</w:t>
            </w:r>
          </w:p>
        </w:tc>
        <w:tc>
          <w:tcPr>
            <w:tcW w:w="1938" w:type="dxa"/>
          </w:tcPr>
          <w:p w14:paraId="3E24CB4F" w14:textId="77777777" w:rsidR="00022E9E" w:rsidRDefault="00022E9E" w:rsidP="00AC0C41">
            <w:pPr>
              <w:widowControl w:val="0"/>
              <w:autoSpaceDE w:val="0"/>
              <w:autoSpaceDN w:val="0"/>
              <w:adjustRightInd w:val="0"/>
            </w:pPr>
            <w:r>
              <w:t>0.030</w:t>
            </w:r>
          </w:p>
        </w:tc>
        <w:tc>
          <w:tcPr>
            <w:tcW w:w="1602" w:type="dxa"/>
          </w:tcPr>
          <w:p w14:paraId="24986DE4" w14:textId="77777777" w:rsidR="00022E9E" w:rsidRDefault="00022E9E" w:rsidP="00AC0C41">
            <w:pPr>
              <w:widowControl w:val="0"/>
              <w:autoSpaceDE w:val="0"/>
              <w:autoSpaceDN w:val="0"/>
              <w:adjustRightInd w:val="0"/>
            </w:pPr>
            <w:r>
              <w:t>0.46</w:t>
            </w:r>
          </w:p>
        </w:tc>
      </w:tr>
      <w:tr w:rsidR="00022E9E" w14:paraId="703F8952" w14:textId="77777777">
        <w:tc>
          <w:tcPr>
            <w:tcW w:w="1824" w:type="dxa"/>
          </w:tcPr>
          <w:p w14:paraId="0BC5E8A2" w14:textId="77777777" w:rsidR="00022E9E" w:rsidRDefault="00022E9E" w:rsidP="00AC0C41">
            <w:pPr>
              <w:widowControl w:val="0"/>
              <w:autoSpaceDE w:val="0"/>
              <w:autoSpaceDN w:val="0"/>
              <w:adjustRightInd w:val="0"/>
            </w:pPr>
            <w:r>
              <w:t>Rat</w:t>
            </w:r>
          </w:p>
        </w:tc>
        <w:tc>
          <w:tcPr>
            <w:tcW w:w="2052" w:type="dxa"/>
          </w:tcPr>
          <w:p w14:paraId="427A54D6" w14:textId="77777777" w:rsidR="00022E9E" w:rsidRDefault="00022E9E" w:rsidP="00AC0C41">
            <w:pPr>
              <w:widowControl w:val="0"/>
              <w:autoSpaceDE w:val="0"/>
              <w:autoSpaceDN w:val="0"/>
              <w:adjustRightInd w:val="0"/>
            </w:pPr>
            <w:r>
              <w:t>0.10</w:t>
            </w:r>
          </w:p>
        </w:tc>
        <w:tc>
          <w:tcPr>
            <w:tcW w:w="1938" w:type="dxa"/>
          </w:tcPr>
          <w:p w14:paraId="6A15623E" w14:textId="77777777" w:rsidR="00022E9E" w:rsidRDefault="00022E9E" w:rsidP="00AC0C41">
            <w:pPr>
              <w:widowControl w:val="0"/>
              <w:autoSpaceDE w:val="0"/>
              <w:autoSpaceDN w:val="0"/>
              <w:adjustRightInd w:val="0"/>
            </w:pPr>
            <w:r>
              <w:t>0.050</w:t>
            </w:r>
          </w:p>
        </w:tc>
        <w:tc>
          <w:tcPr>
            <w:tcW w:w="1602" w:type="dxa"/>
          </w:tcPr>
          <w:p w14:paraId="5166CFD2" w14:textId="77777777" w:rsidR="00022E9E" w:rsidRDefault="00022E9E" w:rsidP="00AC0C41">
            <w:pPr>
              <w:widowControl w:val="0"/>
              <w:autoSpaceDE w:val="0"/>
              <w:autoSpaceDN w:val="0"/>
              <w:adjustRightInd w:val="0"/>
            </w:pPr>
            <w:r>
              <w:t>0.66</w:t>
            </w:r>
          </w:p>
        </w:tc>
      </w:tr>
    </w:tbl>
    <w:p w14:paraId="50840D6B" w14:textId="77777777" w:rsidR="0013088E" w:rsidRDefault="0013088E" w:rsidP="0013088E">
      <w:pPr>
        <w:widowControl w:val="0"/>
        <w:autoSpaceDE w:val="0"/>
        <w:autoSpaceDN w:val="0"/>
        <w:adjustRightInd w:val="0"/>
      </w:pPr>
    </w:p>
    <w:sectPr w:rsidR="0013088E" w:rsidSect="001308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088E"/>
    <w:rsid w:val="00022E9E"/>
    <w:rsid w:val="0013088E"/>
    <w:rsid w:val="00343BE5"/>
    <w:rsid w:val="00345473"/>
    <w:rsid w:val="00455613"/>
    <w:rsid w:val="005C3366"/>
    <w:rsid w:val="00636CD1"/>
    <w:rsid w:val="006C25DF"/>
    <w:rsid w:val="007936B2"/>
    <w:rsid w:val="00AC0C41"/>
    <w:rsid w:val="00CB053A"/>
    <w:rsid w:val="00D115E0"/>
    <w:rsid w:val="00ED1D2B"/>
    <w:rsid w:val="00FF2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56E858"/>
  <w15:docId w15:val="{28F344C1-3B56-42B1-8CE7-6F1A0340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232</vt:lpstr>
    </vt:vector>
  </TitlesOfParts>
  <Company>State of Illinois</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232</dc:title>
  <dc:subject/>
  <dc:creator>Illinois General Assembly</dc:creator>
  <cp:keywords/>
  <dc:description/>
  <cp:lastModifiedBy>Shipley, Melissa A.</cp:lastModifiedBy>
  <cp:revision>4</cp:revision>
  <cp:lastPrinted>2003-03-05T15:09:00Z</cp:lastPrinted>
  <dcterms:created xsi:type="dcterms:W3CDTF">2012-06-21T19:51:00Z</dcterms:created>
  <dcterms:modified xsi:type="dcterms:W3CDTF">2025-05-12T15:20:00Z</dcterms:modified>
</cp:coreProperties>
</file>