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A1" w:rsidRDefault="00BC5FA1" w:rsidP="00F14B9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14B9E" w:rsidRDefault="00F14B9E" w:rsidP="00F14B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229.APPENDIX C  </w:t>
      </w:r>
      <w:r w:rsidR="00A27DC6">
        <w:rPr>
          <w:b/>
          <w:bCs/>
        </w:rPr>
        <w:t xml:space="preserve"> </w:t>
      </w:r>
      <w:r>
        <w:rPr>
          <w:b/>
          <w:bCs/>
        </w:rPr>
        <w:t>Reference Test Methods and Procedures for Performance Tests</w:t>
      </w:r>
      <w:r>
        <w:t xml:space="preserve"> </w:t>
      </w:r>
    </w:p>
    <w:p w:rsidR="00F14B9E" w:rsidRDefault="00F14B9E" w:rsidP="00F14B9E">
      <w:pPr>
        <w:widowControl w:val="0"/>
        <w:autoSpaceDE w:val="0"/>
        <w:autoSpaceDN w:val="0"/>
        <w:adjustRightInd w:val="0"/>
      </w:pPr>
    </w:p>
    <w:p w:rsidR="00F14B9E" w:rsidRDefault="00F14B9E" w:rsidP="00F14B9E">
      <w:pPr>
        <w:widowControl w:val="0"/>
        <w:autoSpaceDE w:val="0"/>
        <w:autoSpaceDN w:val="0"/>
        <w:adjustRightInd w:val="0"/>
      </w:pPr>
      <w:r>
        <w:t xml:space="preserve">The following test methods and procedures shall be used as specified in Section 229.140(e) of this Part, when conducting any performance test for the purpose of demonstrating compliance with the </w:t>
      </w:r>
      <w:r w:rsidR="007A322F">
        <w:t>emissions</w:t>
      </w:r>
      <w:r>
        <w:t xml:space="preserve"> limits established under this Part. </w:t>
      </w:r>
    </w:p>
    <w:p w:rsidR="004F200A" w:rsidRDefault="004F200A" w:rsidP="00F14B9E">
      <w:pPr>
        <w:widowControl w:val="0"/>
        <w:autoSpaceDE w:val="0"/>
        <w:autoSpaceDN w:val="0"/>
        <w:adjustRightInd w:val="0"/>
      </w:pPr>
    </w:p>
    <w:p w:rsidR="00F14B9E" w:rsidRDefault="00F14B9E" w:rsidP="00F14B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performance tests shall consist of a minimum of 3 test runs conducted under representative operating conditions. The minimum sample time of 1 hour per test run shall be used unless otherwise indicated. In order to demonstrate compliance with the </w:t>
      </w:r>
      <w:r w:rsidR="007A322F">
        <w:t>emissions</w:t>
      </w:r>
      <w:r>
        <w:t xml:space="preserve"> limits set forth in Subpart E of this Part, the arithmetic average of all 3 performance test runs shall be used. 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F14B9E" w:rsidP="00F14B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Method 1, at 40 CFR 60, incorporated by reference at Section 229.104(d) of this Part, shall be used to select the sampling location and number of traverse points. 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F14B9E" w:rsidP="00F14B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Method 2, at 40 CFR 60</w:t>
      </w:r>
      <w:r w:rsidR="007A322F">
        <w:t>,</w:t>
      </w:r>
      <w:r>
        <w:t xml:space="preserve"> shall be used to determine average gas density, as well as to measure gas velocity. 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1440" w:hanging="720"/>
      </w:pPr>
    </w:p>
    <w:p w:rsidR="00A37FB7" w:rsidRPr="00A37FB7" w:rsidRDefault="00A37FB7" w:rsidP="00A37FB7">
      <w:pPr>
        <w:ind w:left="1440" w:hanging="720"/>
      </w:pPr>
      <w:r w:rsidRPr="00A37FB7">
        <w:t>d)</w:t>
      </w:r>
      <w:r>
        <w:tab/>
      </w:r>
      <w:r w:rsidRPr="00A37FB7">
        <w:t>Method 3, 3A, or 3B, at 40 CFR 60</w:t>
      </w:r>
      <w:r w:rsidR="007A322F">
        <w:t>,</w:t>
      </w:r>
      <w:r w:rsidRPr="00A37FB7">
        <w:t xml:space="preserve"> shall be used for gas composition analysis, including measurement of oxygen concentration. Method 3, 3A or 3B, at 40 CFR 60</w:t>
      </w:r>
      <w:r w:rsidR="007A322F">
        <w:t>,</w:t>
      </w:r>
      <w:r w:rsidRPr="00A37FB7">
        <w:t xml:space="preserve"> shall be used simultaneously with each of the other reference methods. As an alternative to Method 3B, ASME PTC-19-10-1981-Part 10 may be used.</w:t>
      </w:r>
    </w:p>
    <w:p w:rsidR="004F200A" w:rsidRDefault="00F14B9E" w:rsidP="00F14B9E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F14B9E" w:rsidRDefault="00F14B9E" w:rsidP="00F14B9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pollutant concentrations shall be adjusted to 7 percent oxygen using the following equation: </w:t>
      </w:r>
    </w:p>
    <w:p w:rsidR="00F14B9E" w:rsidRDefault="00F14B9E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F14B9E" w:rsidP="00BC1EEB">
      <w:pPr>
        <w:widowControl w:val="0"/>
        <w:autoSpaceDE w:val="0"/>
        <w:autoSpaceDN w:val="0"/>
        <w:adjustRightInd w:val="0"/>
        <w:ind w:left="1440" w:right="648" w:firstLine="18"/>
        <w:jc w:val="center"/>
      </w:pPr>
      <w:r>
        <w:t>C</w:t>
      </w:r>
      <w:r w:rsidRPr="002951BB">
        <w:rPr>
          <w:vertAlign w:val="subscript"/>
        </w:rPr>
        <w:t>adj</w:t>
      </w:r>
      <w:r>
        <w:t xml:space="preserve"> = C</w:t>
      </w:r>
      <w:r w:rsidRPr="002951BB">
        <w:rPr>
          <w:vertAlign w:val="subscript"/>
        </w:rPr>
        <w:t>meas</w:t>
      </w:r>
      <w:r>
        <w:t xml:space="preserve"> (20.9-7)/(20.9-%O</w:t>
      </w:r>
      <w:r w:rsidRPr="002951BB">
        <w:rPr>
          <w:vertAlign w:val="subscript"/>
        </w:rPr>
        <w:t>2</w:t>
      </w:r>
      <w:r>
        <w:t>)</w:t>
      </w:r>
    </w:p>
    <w:p w:rsidR="00F14B9E" w:rsidRDefault="00F14B9E" w:rsidP="00F14B9E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923"/>
      </w:tblGrid>
      <w:tr w:rsidR="002951BB">
        <w:tblPrEx>
          <w:tblCellMar>
            <w:top w:w="0" w:type="dxa"/>
            <w:bottom w:w="0" w:type="dxa"/>
          </w:tblCellMar>
        </w:tblPrEx>
        <w:tc>
          <w:tcPr>
            <w:tcW w:w="923" w:type="dxa"/>
          </w:tcPr>
          <w:p w:rsidR="002951BB" w:rsidRDefault="002951BB" w:rsidP="00BC1EEB">
            <w:pPr>
              <w:widowControl w:val="0"/>
              <w:autoSpaceDE w:val="0"/>
              <w:autoSpaceDN w:val="0"/>
              <w:adjustRightInd w:val="0"/>
              <w:ind w:left="-93"/>
            </w:pPr>
            <w:r>
              <w:t>Where:</w:t>
            </w:r>
          </w:p>
        </w:tc>
      </w:tr>
    </w:tbl>
    <w:p w:rsidR="002951BB" w:rsidRDefault="002951BB" w:rsidP="00F14B9E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157" w:type="dxa"/>
        <w:tblInd w:w="1533" w:type="dxa"/>
        <w:tblLook w:val="0000" w:firstRow="0" w:lastRow="0" w:firstColumn="0" w:lastColumn="0" w:noHBand="0" w:noVBand="0"/>
      </w:tblPr>
      <w:tblGrid>
        <w:gridCol w:w="1320"/>
        <w:gridCol w:w="387"/>
        <w:gridCol w:w="6450"/>
      </w:tblGrid>
      <w:tr w:rsidR="001528C6" w:rsidTr="00BC1EE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20" w:type="dxa"/>
          </w:tcPr>
          <w:p w:rsidR="001528C6" w:rsidRPr="001528C6" w:rsidRDefault="001528C6" w:rsidP="00BC1EEB">
            <w:pPr>
              <w:widowControl w:val="0"/>
              <w:autoSpaceDE w:val="0"/>
              <w:autoSpaceDN w:val="0"/>
              <w:adjustRightInd w:val="0"/>
              <w:ind w:left="249" w:right="-90"/>
            </w:pPr>
            <w:r>
              <w:t>C</w:t>
            </w:r>
            <w:r>
              <w:rPr>
                <w:vertAlign w:val="subscript"/>
              </w:rPr>
              <w:t>adj</w:t>
            </w:r>
          </w:p>
        </w:tc>
        <w:tc>
          <w:tcPr>
            <w:tcW w:w="387" w:type="dxa"/>
          </w:tcPr>
          <w:p w:rsidR="001528C6" w:rsidRDefault="001528C6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450" w:type="dxa"/>
          </w:tcPr>
          <w:p w:rsidR="001528C6" w:rsidRDefault="001528C6" w:rsidP="00F14B9E">
            <w:pPr>
              <w:widowControl w:val="0"/>
              <w:autoSpaceDE w:val="0"/>
              <w:autoSpaceDN w:val="0"/>
              <w:adjustRightInd w:val="0"/>
            </w:pPr>
            <w:r>
              <w:t>pollutant concentration adjusted to 7 percent oxygen;</w:t>
            </w:r>
          </w:p>
        </w:tc>
      </w:tr>
      <w:tr w:rsidR="001528C6" w:rsidTr="00BC1EE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320" w:type="dxa"/>
          </w:tcPr>
          <w:p w:rsidR="001528C6" w:rsidRPr="001528C6" w:rsidRDefault="001528C6" w:rsidP="00BC1EEB">
            <w:pPr>
              <w:widowControl w:val="0"/>
              <w:autoSpaceDE w:val="0"/>
              <w:autoSpaceDN w:val="0"/>
              <w:adjustRightInd w:val="0"/>
              <w:ind w:left="249" w:right="-90"/>
            </w:pPr>
            <w:r>
              <w:t>C</w:t>
            </w:r>
            <w:r>
              <w:rPr>
                <w:vertAlign w:val="subscript"/>
              </w:rPr>
              <w:t>meas</w:t>
            </w:r>
          </w:p>
        </w:tc>
        <w:tc>
          <w:tcPr>
            <w:tcW w:w="387" w:type="dxa"/>
          </w:tcPr>
          <w:p w:rsidR="001528C6" w:rsidRDefault="001528C6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450" w:type="dxa"/>
          </w:tcPr>
          <w:p w:rsidR="001528C6" w:rsidRDefault="001528C6" w:rsidP="00F14B9E">
            <w:pPr>
              <w:widowControl w:val="0"/>
              <w:autoSpaceDE w:val="0"/>
              <w:autoSpaceDN w:val="0"/>
              <w:adjustRightInd w:val="0"/>
            </w:pPr>
            <w:r>
              <w:t>pollutant concentration measured on a dry basis</w:t>
            </w:r>
          </w:p>
        </w:tc>
      </w:tr>
      <w:tr w:rsidR="001528C6" w:rsidTr="00BC1EEB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320" w:type="dxa"/>
          </w:tcPr>
          <w:p w:rsidR="001528C6" w:rsidRDefault="001528C6" w:rsidP="00BC1EEB">
            <w:pPr>
              <w:widowControl w:val="0"/>
              <w:autoSpaceDE w:val="0"/>
              <w:autoSpaceDN w:val="0"/>
              <w:adjustRightInd w:val="0"/>
              <w:ind w:left="249" w:right="-90"/>
            </w:pPr>
            <w:r>
              <w:t>(20.9-7)</w:t>
            </w:r>
          </w:p>
        </w:tc>
        <w:tc>
          <w:tcPr>
            <w:tcW w:w="387" w:type="dxa"/>
          </w:tcPr>
          <w:p w:rsidR="001528C6" w:rsidRDefault="001528C6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450" w:type="dxa"/>
          </w:tcPr>
          <w:p w:rsidR="001528C6" w:rsidRDefault="001528C6" w:rsidP="00F14B9E">
            <w:pPr>
              <w:widowControl w:val="0"/>
              <w:autoSpaceDE w:val="0"/>
              <w:autoSpaceDN w:val="0"/>
              <w:adjustRightInd w:val="0"/>
            </w:pPr>
            <w:r>
              <w:t xml:space="preserve">20.9 percent oxygen </w:t>
            </w:r>
            <w:r w:rsidR="00A27DC6">
              <w:t xml:space="preserve">- </w:t>
            </w:r>
            <w:r>
              <w:t>7 percent oxygen (defined oxygen</w:t>
            </w:r>
            <w:r w:rsidR="005A4537">
              <w:t xml:space="preserve"> corrective basis);</w:t>
            </w:r>
          </w:p>
        </w:tc>
      </w:tr>
      <w:tr w:rsidR="001528C6" w:rsidTr="00BC1EEB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320" w:type="dxa"/>
          </w:tcPr>
          <w:p w:rsidR="001528C6" w:rsidRDefault="005A4537" w:rsidP="00BC1EEB">
            <w:pPr>
              <w:widowControl w:val="0"/>
              <w:autoSpaceDE w:val="0"/>
              <w:autoSpaceDN w:val="0"/>
              <w:adjustRightInd w:val="0"/>
              <w:ind w:left="249" w:right="-90"/>
            </w:pPr>
            <w:r>
              <w:t>20.9</w:t>
            </w:r>
          </w:p>
        </w:tc>
        <w:tc>
          <w:tcPr>
            <w:tcW w:w="387" w:type="dxa"/>
          </w:tcPr>
          <w:p w:rsidR="001528C6" w:rsidRDefault="005A4537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450" w:type="dxa"/>
          </w:tcPr>
          <w:p w:rsidR="001528C6" w:rsidRDefault="005A4537" w:rsidP="00F14B9E">
            <w:pPr>
              <w:widowControl w:val="0"/>
              <w:autoSpaceDE w:val="0"/>
              <w:autoSpaceDN w:val="0"/>
              <w:adjustRightInd w:val="0"/>
            </w:pPr>
            <w:r>
              <w:t>oxygen concentration in air, percent; and</w:t>
            </w:r>
          </w:p>
        </w:tc>
      </w:tr>
      <w:tr w:rsidR="001528C6" w:rsidTr="00BC1EEB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1528C6" w:rsidRPr="005A4537" w:rsidRDefault="005A4537" w:rsidP="00BC1EEB">
            <w:pPr>
              <w:widowControl w:val="0"/>
              <w:autoSpaceDE w:val="0"/>
              <w:autoSpaceDN w:val="0"/>
              <w:adjustRightInd w:val="0"/>
              <w:ind w:left="249" w:right="-90"/>
            </w:pPr>
            <w:r>
              <w:t>%O</w:t>
            </w:r>
            <w:r>
              <w:rPr>
                <w:vertAlign w:val="subscript"/>
              </w:rPr>
              <w:t>2</w:t>
            </w:r>
          </w:p>
        </w:tc>
        <w:tc>
          <w:tcPr>
            <w:tcW w:w="387" w:type="dxa"/>
          </w:tcPr>
          <w:p w:rsidR="001528C6" w:rsidRDefault="005A4537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450" w:type="dxa"/>
          </w:tcPr>
          <w:p w:rsidR="001528C6" w:rsidRDefault="005A4537" w:rsidP="00F14B9E">
            <w:pPr>
              <w:widowControl w:val="0"/>
              <w:autoSpaceDE w:val="0"/>
              <w:autoSpaceDN w:val="0"/>
              <w:adjustRightInd w:val="0"/>
            </w:pPr>
            <w:r>
              <w:t>oxygen concentration measured on a dry basis, percent.</w:t>
            </w:r>
          </w:p>
        </w:tc>
      </w:tr>
    </w:tbl>
    <w:p w:rsidR="002951BB" w:rsidRPr="00A37FB7" w:rsidRDefault="002951BB" w:rsidP="00A37FB7">
      <w:pPr>
        <w:ind w:left="720"/>
      </w:pPr>
    </w:p>
    <w:p w:rsidR="00A37FB7" w:rsidRPr="00A37FB7" w:rsidRDefault="00A37FB7" w:rsidP="00A37FB7">
      <w:pPr>
        <w:ind w:left="1440" w:hanging="720"/>
      </w:pPr>
      <w:r w:rsidRPr="00A37FB7">
        <w:t>f)</w:t>
      </w:r>
      <w:r>
        <w:tab/>
      </w:r>
      <w:r w:rsidRPr="00A37FB7">
        <w:t>Method 5, 26A, or 29, at 40 CFR 60</w:t>
      </w:r>
      <w:r w:rsidR="007A322F">
        <w:t>,</w:t>
      </w:r>
      <w:r w:rsidRPr="00A37FB7">
        <w:t xml:space="preserve"> shall be used to measure PM emissions.  As an alternative, a PM CEMS may be used in determining compliance with PM emissions using a 12-hour rolling average, calculated each hour as the average of the previous 12 operating hours.</w:t>
      </w:r>
    </w:p>
    <w:p w:rsidR="00577760" w:rsidRDefault="00F14B9E" w:rsidP="00A37FB7">
      <w:pPr>
        <w:ind w:left="1440" w:hanging="720"/>
      </w:pPr>
      <w:r>
        <w:tab/>
      </w:r>
    </w:p>
    <w:p w:rsidR="00A37FB7" w:rsidRPr="00A37FB7" w:rsidRDefault="00A37FB7" w:rsidP="00A37FB7">
      <w:pPr>
        <w:ind w:left="1440" w:hanging="720"/>
      </w:pPr>
      <w:r w:rsidRPr="00A37FB7">
        <w:t>g)</w:t>
      </w:r>
      <w:r>
        <w:tab/>
      </w:r>
      <w:r w:rsidRPr="00A37FB7">
        <w:t>Method 7 or 7E, at 40 CFR 60</w:t>
      </w:r>
      <w:r w:rsidR="007A322F">
        <w:t>,</w:t>
      </w:r>
      <w:r w:rsidRPr="00A37FB7">
        <w:t xml:space="preserve"> shall be used to measure NO</w:t>
      </w:r>
      <w:r w:rsidR="002963BD" w:rsidRPr="002963BD">
        <w:rPr>
          <w:vertAlign w:val="subscript"/>
        </w:rPr>
        <w:t>x</w:t>
      </w:r>
      <w:r w:rsidRPr="00A37FB7">
        <w:t xml:space="preserve"> emissions.</w:t>
      </w:r>
    </w:p>
    <w:p w:rsidR="00A37FB7" w:rsidRPr="00A37FB7" w:rsidRDefault="00A37FB7" w:rsidP="00A37FB7">
      <w:pPr>
        <w:ind w:left="1440" w:hanging="720"/>
      </w:pPr>
    </w:p>
    <w:p w:rsidR="004F200A" w:rsidRPr="00A37FB7" w:rsidRDefault="00A37FB7" w:rsidP="00A37FB7">
      <w:pPr>
        <w:widowControl w:val="0"/>
        <w:autoSpaceDE w:val="0"/>
        <w:autoSpaceDN w:val="0"/>
        <w:adjustRightInd w:val="0"/>
        <w:ind w:left="1440" w:hanging="720"/>
      </w:pPr>
      <w:r w:rsidRPr="00A37FB7">
        <w:t>h)</w:t>
      </w:r>
      <w:r>
        <w:tab/>
      </w:r>
      <w:r w:rsidRPr="00A37FB7">
        <w:t>Method 6 or 6C, at 40 CFR 60</w:t>
      </w:r>
      <w:r w:rsidR="007A322F">
        <w:t>,</w:t>
      </w:r>
      <w:r w:rsidRPr="00A37FB7">
        <w:t xml:space="preserve"> shall be used to measure SO</w:t>
      </w:r>
      <w:r w:rsidRPr="00A37FB7">
        <w:rPr>
          <w:vertAlign w:val="subscript"/>
        </w:rPr>
        <w:t>2</w:t>
      </w:r>
      <w:r w:rsidRPr="00A37FB7">
        <w:t xml:space="preserve"> emissions</w:t>
      </w:r>
      <w:r w:rsidRPr="00A37FB7">
        <w:rPr>
          <w:i/>
        </w:rPr>
        <w:t>.</w:t>
      </w:r>
    </w:p>
    <w:p w:rsidR="00A37FB7" w:rsidRDefault="00A37FB7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A37FB7" w:rsidP="00F14B9E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F14B9E">
        <w:t>)</w:t>
      </w:r>
      <w:r w:rsidR="00F14B9E">
        <w:tab/>
        <w:t>Method 9, at 40 CFR 60</w:t>
      </w:r>
      <w:r w:rsidR="007A322F">
        <w:t>,</w:t>
      </w:r>
      <w:r w:rsidR="00F14B9E">
        <w:t xml:space="preserve"> shall be used to measure stack opacity. </w:t>
      </w:r>
      <w:r w:rsidRPr="00A37FB7">
        <w:t>As an alternative, the use of a bag leak detection system or a PM CEMS to demonstrate compliance with the PM standards is considered demonstrative of compliance with the opacity requirements.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A37FB7" w:rsidP="00F14B9E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F14B9E">
        <w:t>)</w:t>
      </w:r>
      <w:r w:rsidR="00F14B9E">
        <w:tab/>
        <w:t>Method 10 or 10B, at 40 CFR 60</w:t>
      </w:r>
      <w:r w:rsidR="007A322F">
        <w:t>,</w:t>
      </w:r>
      <w:r w:rsidR="00F14B9E">
        <w:t xml:space="preserve"> shall be used to measure CO emissions. </w:t>
      </w:r>
      <w:r w:rsidRPr="00A37FB7">
        <w:t>As an alternative, a CO CEMS may be used to measure CO emissions.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1440" w:hanging="720"/>
      </w:pPr>
    </w:p>
    <w:p w:rsidR="00A37FB7" w:rsidRPr="00A37FB7" w:rsidRDefault="00A37FB7" w:rsidP="00F14B9E">
      <w:pPr>
        <w:widowControl w:val="0"/>
        <w:autoSpaceDE w:val="0"/>
        <w:autoSpaceDN w:val="0"/>
        <w:adjustRightInd w:val="0"/>
        <w:ind w:left="1440" w:hanging="720"/>
      </w:pPr>
      <w:r w:rsidRPr="00A37FB7">
        <w:t>k)</w:t>
      </w:r>
      <w:r>
        <w:tab/>
      </w:r>
      <w:r w:rsidRPr="00A37FB7">
        <w:t>Method 22, at 40 CFR 60</w:t>
      </w:r>
      <w:r w:rsidR="007A322F">
        <w:t>,</w:t>
      </w:r>
      <w:r w:rsidRPr="00A37FB7">
        <w:t xml:space="preserve"> shall be used to measure fugitive ash emissions.</w:t>
      </w:r>
    </w:p>
    <w:p w:rsidR="00A37FB7" w:rsidRDefault="00A37FB7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A37FB7" w:rsidP="00F14B9E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F14B9E">
        <w:t>)</w:t>
      </w:r>
      <w:r w:rsidR="00F14B9E">
        <w:tab/>
        <w:t>Method 23, at 40 CFR 60</w:t>
      </w:r>
      <w:r w:rsidR="007A322F">
        <w:t>,</w:t>
      </w:r>
      <w:r w:rsidR="00F14B9E">
        <w:t xml:space="preserve"> shall be used to measure total dioxin/furan emissions.  </w:t>
      </w:r>
      <w:r w:rsidRPr="00A37FB7">
        <w:t>As an alternative, the facility may elect to sample total dioxins/furans by installing, calibrating, maintaining, and operating a continuous automated sampling system for monitoring dioxin/furan emissions.</w:t>
      </w:r>
      <w:r>
        <w:t xml:space="preserve">  </w:t>
      </w:r>
      <w:r w:rsidR="00F14B9E">
        <w:t xml:space="preserve">The minimum sample time </w:t>
      </w:r>
      <w:r w:rsidRPr="00A37FB7">
        <w:t>for Method 23 sampling</w:t>
      </w:r>
      <w:r>
        <w:t xml:space="preserve"> </w:t>
      </w:r>
      <w:r w:rsidR="00F14B9E">
        <w:t xml:space="preserve">shall be 4 hours per test run.  If the affected facility has selected the TEQ for dioxin/furans (set out in Appendix A of this Part), as provided under Section 229.125 or 229.126 of this Part, whichever is applicable, the following procedures shall be used to determine compliance: 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2160" w:hanging="720"/>
      </w:pPr>
    </w:p>
    <w:p w:rsidR="00F14B9E" w:rsidRDefault="00F14B9E" w:rsidP="00A263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Measure the concentration of each dioxin/furan tetra-through-octa-congener emitted using Method 23; 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2160" w:hanging="720"/>
      </w:pPr>
    </w:p>
    <w:p w:rsidR="00F14B9E" w:rsidRDefault="00F14B9E" w:rsidP="00F14B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each dioxin/furan congener measured in accordance with subsection (i)(1) of this Section, multiply the congener concentration by its corresponding TEQ factor specified in Appendix A of this Part; and 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2160" w:hanging="720"/>
      </w:pPr>
    </w:p>
    <w:p w:rsidR="00F14B9E" w:rsidRDefault="00F14B9E" w:rsidP="00F14B9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Sum the products calculated in accordance with subsection (i)(2) of this Section to obtain the total concentration of dioxin/furans emitted in terms of TEQ. </w:t>
      </w:r>
    </w:p>
    <w:p w:rsidR="004F200A" w:rsidRDefault="004F200A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A37FB7" w:rsidP="00F14B9E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F14B9E">
        <w:t>)</w:t>
      </w:r>
      <w:r w:rsidR="00F14B9E">
        <w:tab/>
        <w:t>Method 26 or 26A, at 40 CFR 60</w:t>
      </w:r>
      <w:r w:rsidR="007A322F">
        <w:t>,</w:t>
      </w:r>
      <w:r w:rsidR="00F14B9E">
        <w:t xml:space="preserve"> shall be used to measure HCl emissions.  </w:t>
      </w:r>
      <w:r w:rsidRPr="00A37FB7">
        <w:rPr>
          <w:color w:val="000000"/>
        </w:rPr>
        <w:t>As an alternative, an HCl CEMS may be used to measure HCl emissions.  Before January 1, 2014,</w:t>
      </w:r>
      <w:r>
        <w:t xml:space="preserve"> if</w:t>
      </w:r>
      <w:r w:rsidR="00F14B9E">
        <w:t xml:space="preserve"> the affected facility has selected the percentage reduction standard for HCl as provided under Section 229.125</w:t>
      </w:r>
      <w:r>
        <w:t>(a)</w:t>
      </w:r>
      <w:r w:rsidR="00F14B9E">
        <w:t xml:space="preserve"> or 229.126</w:t>
      </w:r>
      <w:r>
        <w:t>(a)</w:t>
      </w:r>
      <w:r w:rsidR="00F14B9E">
        <w:t xml:space="preserve"> of this Part, whichever is applicable, the percentage reduction in HCl emissions (%R</w:t>
      </w:r>
      <w:r w:rsidR="00F14B9E" w:rsidRPr="00A27DC6">
        <w:rPr>
          <w:vertAlign w:val="subscript"/>
        </w:rPr>
        <w:t>HCl</w:t>
      </w:r>
      <w:r w:rsidR="00F14B9E">
        <w:t xml:space="preserve">) is computed using the following formula: </w:t>
      </w:r>
    </w:p>
    <w:p w:rsidR="00F14B9E" w:rsidRDefault="00F14B9E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F14B9E" w:rsidP="00BC1EEB">
      <w:pPr>
        <w:widowControl w:val="0"/>
        <w:autoSpaceDE w:val="0"/>
        <w:autoSpaceDN w:val="0"/>
        <w:adjustRightInd w:val="0"/>
        <w:ind w:left="1440" w:right="297" w:firstLine="6"/>
        <w:jc w:val="center"/>
      </w:pPr>
      <w:r>
        <w:t>(%R</w:t>
      </w:r>
      <w:r w:rsidRPr="006226CF">
        <w:rPr>
          <w:vertAlign w:val="subscript"/>
        </w:rPr>
        <w:t>HC</w:t>
      </w:r>
      <w:r w:rsidR="00A27DC6">
        <w:rPr>
          <w:vertAlign w:val="subscript"/>
        </w:rPr>
        <w:t>l</w:t>
      </w:r>
      <w:r>
        <w:t>) = ((E</w:t>
      </w:r>
      <w:r w:rsidRPr="006226CF">
        <w:rPr>
          <w:vertAlign w:val="subscript"/>
        </w:rPr>
        <w:t>i</w:t>
      </w:r>
      <w:r>
        <w:t>-E</w:t>
      </w:r>
      <w:r w:rsidRPr="000B4FD7">
        <w:rPr>
          <w:vertAlign w:val="subscript"/>
        </w:rPr>
        <w:t>o</w:t>
      </w:r>
      <w:r>
        <w:t>)/E</w:t>
      </w:r>
      <w:r w:rsidRPr="006226CF">
        <w:rPr>
          <w:vertAlign w:val="subscript"/>
        </w:rPr>
        <w:t>i</w:t>
      </w:r>
      <w:r>
        <w:t>) x 100</w:t>
      </w:r>
    </w:p>
    <w:p w:rsidR="00BC1EEB" w:rsidRDefault="00BC1EEB" w:rsidP="00BC1EEB">
      <w:pPr>
        <w:widowControl w:val="0"/>
        <w:autoSpaceDE w:val="0"/>
        <w:autoSpaceDN w:val="0"/>
        <w:adjustRightInd w:val="0"/>
        <w:ind w:left="1440" w:right="297" w:firstLine="6"/>
        <w:jc w:val="center"/>
      </w:pPr>
    </w:p>
    <w:p w:rsidR="00F14B9E" w:rsidRDefault="00BC1EEB" w:rsidP="00BC1EEB">
      <w:pPr>
        <w:ind w:left="1440"/>
      </w:pPr>
      <w:r>
        <w:t>Where:</w:t>
      </w:r>
    </w:p>
    <w:p w:rsidR="0012328F" w:rsidRDefault="0012328F" w:rsidP="0012328F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8160" w:type="dxa"/>
        <w:tblInd w:w="1530" w:type="dxa"/>
        <w:tblLook w:val="0000" w:firstRow="0" w:lastRow="0" w:firstColumn="0" w:lastColumn="0" w:noHBand="0" w:noVBand="0"/>
      </w:tblPr>
      <w:tblGrid>
        <w:gridCol w:w="1078"/>
        <w:gridCol w:w="236"/>
        <w:gridCol w:w="6846"/>
      </w:tblGrid>
      <w:tr w:rsidR="0012328F" w:rsidTr="00BC1EE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8" w:type="dxa"/>
          </w:tcPr>
          <w:p w:rsidR="0012328F" w:rsidRPr="001528C6" w:rsidRDefault="0012328F" w:rsidP="00BC1EEB">
            <w:pPr>
              <w:widowControl w:val="0"/>
              <w:autoSpaceDE w:val="0"/>
              <w:autoSpaceDN w:val="0"/>
              <w:adjustRightInd w:val="0"/>
              <w:ind w:left="243" w:right="-572"/>
            </w:pPr>
            <w:r>
              <w:t>%R</w:t>
            </w:r>
            <w:r w:rsidRPr="0012328F">
              <w:rPr>
                <w:vertAlign w:val="subscript"/>
              </w:rPr>
              <w:t>HC</w:t>
            </w:r>
            <w:r w:rsidR="00A27DC6">
              <w:rPr>
                <w:vertAlign w:val="subscript"/>
              </w:rPr>
              <w:t>l</w:t>
            </w:r>
          </w:p>
        </w:tc>
        <w:tc>
          <w:tcPr>
            <w:tcW w:w="236" w:type="dxa"/>
          </w:tcPr>
          <w:p w:rsidR="0012328F" w:rsidRDefault="0012328F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846" w:type="dxa"/>
          </w:tcPr>
          <w:p w:rsidR="0012328F" w:rsidRDefault="0012328F" w:rsidP="00F35506">
            <w:pPr>
              <w:widowControl w:val="0"/>
              <w:autoSpaceDE w:val="0"/>
              <w:autoSpaceDN w:val="0"/>
              <w:adjustRightInd w:val="0"/>
            </w:pPr>
            <w:r>
              <w:t>percentage reduction of HCI emissions achieved;</w:t>
            </w:r>
          </w:p>
        </w:tc>
      </w:tr>
      <w:tr w:rsidR="0012328F" w:rsidTr="00BC1EEB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8" w:type="dxa"/>
          </w:tcPr>
          <w:p w:rsidR="0012328F" w:rsidRPr="001528C6" w:rsidRDefault="0012328F" w:rsidP="00BC1EEB">
            <w:pPr>
              <w:widowControl w:val="0"/>
              <w:autoSpaceDE w:val="0"/>
              <w:autoSpaceDN w:val="0"/>
              <w:adjustRightInd w:val="0"/>
              <w:ind w:left="243" w:right="-572"/>
            </w:pPr>
            <w:r>
              <w:t>E</w:t>
            </w:r>
            <w:r w:rsidRPr="0012328F">
              <w:rPr>
                <w:vertAlign w:val="subscript"/>
              </w:rPr>
              <w:t>i</w:t>
            </w:r>
          </w:p>
        </w:tc>
        <w:tc>
          <w:tcPr>
            <w:tcW w:w="236" w:type="dxa"/>
          </w:tcPr>
          <w:p w:rsidR="0012328F" w:rsidRDefault="0012328F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846" w:type="dxa"/>
          </w:tcPr>
          <w:p w:rsidR="0012328F" w:rsidRDefault="00AE3C7D" w:rsidP="00F35506">
            <w:pPr>
              <w:widowControl w:val="0"/>
              <w:autoSpaceDE w:val="0"/>
              <w:autoSpaceDN w:val="0"/>
              <w:adjustRightInd w:val="0"/>
            </w:pPr>
            <w:r>
              <w:t>HCI emissions concentration measured at the control device inlet, corrected to 7 percent oxygen (dry basis); and</w:t>
            </w:r>
          </w:p>
        </w:tc>
      </w:tr>
      <w:tr w:rsidR="0012328F" w:rsidTr="00BC1EEB">
        <w:tblPrEx>
          <w:tblCellMar>
            <w:top w:w="0" w:type="dxa"/>
            <w:bottom w:w="0" w:type="dxa"/>
          </w:tblCellMar>
        </w:tblPrEx>
        <w:tc>
          <w:tcPr>
            <w:tcW w:w="1078" w:type="dxa"/>
          </w:tcPr>
          <w:p w:rsidR="0012328F" w:rsidRDefault="00AE3C7D" w:rsidP="00BC1EEB">
            <w:pPr>
              <w:widowControl w:val="0"/>
              <w:autoSpaceDE w:val="0"/>
              <w:autoSpaceDN w:val="0"/>
              <w:adjustRightInd w:val="0"/>
              <w:ind w:left="243" w:right="-572"/>
            </w:pPr>
            <w:r>
              <w:t>E</w:t>
            </w:r>
            <w:r w:rsidR="00DF395A">
              <w:rPr>
                <w:vertAlign w:val="subscript"/>
              </w:rPr>
              <w:t>o</w:t>
            </w:r>
          </w:p>
        </w:tc>
        <w:tc>
          <w:tcPr>
            <w:tcW w:w="236" w:type="dxa"/>
          </w:tcPr>
          <w:p w:rsidR="0012328F" w:rsidRDefault="0012328F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846" w:type="dxa"/>
          </w:tcPr>
          <w:p w:rsidR="0012328F" w:rsidRDefault="00AE3C7D" w:rsidP="00F35506">
            <w:pPr>
              <w:widowControl w:val="0"/>
              <w:autoSpaceDE w:val="0"/>
              <w:autoSpaceDN w:val="0"/>
              <w:adjustRightInd w:val="0"/>
            </w:pPr>
            <w:r>
              <w:t>metal emissions concentration (Pb, Cd, or Hg) measured at the control device outlet, corrected to 7 percent oxygen (dry basis).</w:t>
            </w:r>
          </w:p>
        </w:tc>
      </w:tr>
    </w:tbl>
    <w:p w:rsidR="00F14B9E" w:rsidRDefault="00F14B9E" w:rsidP="00F14B9E">
      <w:pPr>
        <w:widowControl w:val="0"/>
        <w:autoSpaceDE w:val="0"/>
        <w:autoSpaceDN w:val="0"/>
        <w:adjustRightInd w:val="0"/>
        <w:ind w:left="2160" w:hanging="720"/>
      </w:pPr>
    </w:p>
    <w:p w:rsidR="00F14B9E" w:rsidRDefault="00A37FB7" w:rsidP="00F14B9E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F14B9E">
        <w:t>)</w:t>
      </w:r>
      <w:r w:rsidR="00F14B9E">
        <w:tab/>
        <w:t xml:space="preserve">Method 29, at 40 CFR 60, shall be used to measure Pb, Cd, and Hg emissions.  </w:t>
      </w:r>
      <w:r w:rsidRPr="00A37FB7">
        <w:rPr>
          <w:color w:val="000000"/>
        </w:rPr>
        <w:t>As an alternative, ASTM D6784-02 may be used to measure Hg emissions; a multi-metals CEMS or Hg CEMS may be used to measure Pb, Cd, and Hg emissions; or</w:t>
      </w:r>
      <w:r w:rsidRPr="00A37FB7">
        <w:t xml:space="preserve"> the facility may elect to sample Hg by installing, calibrating, maintaining, and operating a continuous automated sampling system for monitoring Hg emissions.</w:t>
      </w:r>
      <w:r>
        <w:t xml:space="preserve">  </w:t>
      </w:r>
      <w:r w:rsidRPr="00A37FB7">
        <w:t>B</w:t>
      </w:r>
      <w:r w:rsidRPr="00A37FB7">
        <w:rPr>
          <w:color w:val="000000"/>
        </w:rPr>
        <w:t>efore January 1, 2014, if</w:t>
      </w:r>
      <w:r w:rsidR="00F14B9E">
        <w:t xml:space="preserve"> the affected facility has selected the percentage reduction standards for metals as provided in Section 229.125</w:t>
      </w:r>
      <w:r>
        <w:t>(a)</w:t>
      </w:r>
      <w:r w:rsidR="00F14B9E">
        <w:t xml:space="preserve"> or 229.126</w:t>
      </w:r>
      <w:r>
        <w:t>(a)</w:t>
      </w:r>
      <w:r w:rsidR="00F14B9E">
        <w:t xml:space="preserve"> of this Part, whichever is applicable, the percentage reduction in emissions (%R</w:t>
      </w:r>
      <w:r w:rsidR="00F14B9E" w:rsidRPr="006226CF">
        <w:rPr>
          <w:vertAlign w:val="subscript"/>
        </w:rPr>
        <w:t>metal</w:t>
      </w:r>
      <w:r w:rsidR="00F14B9E">
        <w:t xml:space="preserve">) is computed using the following formula: </w:t>
      </w:r>
    </w:p>
    <w:p w:rsidR="00F14B9E" w:rsidRDefault="00F14B9E" w:rsidP="00F14B9E">
      <w:pPr>
        <w:widowControl w:val="0"/>
        <w:autoSpaceDE w:val="0"/>
        <w:autoSpaceDN w:val="0"/>
        <w:adjustRightInd w:val="0"/>
        <w:ind w:left="1440" w:hanging="720"/>
      </w:pPr>
    </w:p>
    <w:p w:rsidR="00F14B9E" w:rsidRDefault="00F14B9E" w:rsidP="00BC1EEB">
      <w:pPr>
        <w:widowControl w:val="0"/>
        <w:autoSpaceDE w:val="0"/>
        <w:autoSpaceDN w:val="0"/>
        <w:adjustRightInd w:val="0"/>
        <w:ind w:left="1440" w:right="603"/>
        <w:jc w:val="center"/>
      </w:pPr>
      <w:r>
        <w:t>(%R</w:t>
      </w:r>
      <w:r w:rsidRPr="006226CF">
        <w:rPr>
          <w:vertAlign w:val="subscript"/>
        </w:rPr>
        <w:t>metal</w:t>
      </w:r>
      <w:r>
        <w:t>) = ((E</w:t>
      </w:r>
      <w:r w:rsidRPr="006226CF">
        <w:rPr>
          <w:vertAlign w:val="subscript"/>
        </w:rPr>
        <w:t>i</w:t>
      </w:r>
      <w:r>
        <w:t>-E</w:t>
      </w:r>
      <w:r w:rsidRPr="006226CF">
        <w:rPr>
          <w:vertAlign w:val="subscript"/>
        </w:rPr>
        <w:t>o</w:t>
      </w:r>
      <w:r>
        <w:t>)/E</w:t>
      </w:r>
      <w:r w:rsidRPr="006226CF">
        <w:rPr>
          <w:vertAlign w:val="subscript"/>
        </w:rPr>
        <w:t>i</w:t>
      </w:r>
      <w:r>
        <w:t>)</w:t>
      </w:r>
      <w:r w:rsidR="00A27DC6">
        <w:t xml:space="preserve"> </w:t>
      </w:r>
      <w:r>
        <w:t>x 100</w:t>
      </w:r>
    </w:p>
    <w:p w:rsidR="00A27DC6" w:rsidRDefault="00A27DC6" w:rsidP="00DF395A">
      <w:pPr>
        <w:widowControl w:val="0"/>
        <w:autoSpaceDE w:val="0"/>
        <w:autoSpaceDN w:val="0"/>
        <w:adjustRightInd w:val="0"/>
        <w:ind w:left="1440" w:firstLine="720"/>
      </w:pPr>
    </w:p>
    <w:p w:rsidR="00A27DC6" w:rsidRDefault="00A27DC6" w:rsidP="00BC1EEB">
      <w:pPr>
        <w:widowControl w:val="0"/>
        <w:autoSpaceDE w:val="0"/>
        <w:autoSpaceDN w:val="0"/>
        <w:adjustRightInd w:val="0"/>
        <w:ind w:left="1440" w:firstLine="18"/>
      </w:pPr>
      <w:r>
        <w:t>Where:</w:t>
      </w:r>
    </w:p>
    <w:p w:rsidR="0068247E" w:rsidRDefault="0068247E" w:rsidP="00F14B9E">
      <w:pPr>
        <w:widowControl w:val="0"/>
        <w:autoSpaceDE w:val="0"/>
        <w:autoSpaceDN w:val="0"/>
        <w:adjustRightInd w:val="0"/>
        <w:ind w:left="1440" w:hanging="720"/>
        <w:jc w:val="center"/>
      </w:pPr>
    </w:p>
    <w:tbl>
      <w:tblPr>
        <w:tblW w:w="7530" w:type="dxa"/>
        <w:tblInd w:w="1844" w:type="dxa"/>
        <w:tblLook w:val="0000" w:firstRow="0" w:lastRow="0" w:firstColumn="0" w:lastColumn="0" w:noHBand="0" w:noVBand="0"/>
      </w:tblPr>
      <w:tblGrid>
        <w:gridCol w:w="1140"/>
        <w:gridCol w:w="236"/>
        <w:gridCol w:w="6154"/>
      </w:tblGrid>
      <w:tr w:rsidR="0068247E" w:rsidTr="00BC1EE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40" w:type="dxa"/>
          </w:tcPr>
          <w:p w:rsidR="00AE3C7D" w:rsidRPr="001528C6" w:rsidRDefault="00AE3C7D" w:rsidP="00BC1EEB">
            <w:pPr>
              <w:widowControl w:val="0"/>
              <w:autoSpaceDE w:val="0"/>
              <w:autoSpaceDN w:val="0"/>
              <w:adjustRightInd w:val="0"/>
              <w:ind w:left="-44" w:right="-108"/>
            </w:pPr>
            <w:r>
              <w:t>%R</w:t>
            </w:r>
            <w:r w:rsidRPr="0068247E">
              <w:rPr>
                <w:vertAlign w:val="subscript"/>
              </w:rPr>
              <w:t>METAL</w:t>
            </w:r>
          </w:p>
        </w:tc>
        <w:tc>
          <w:tcPr>
            <w:tcW w:w="236" w:type="dxa"/>
          </w:tcPr>
          <w:p w:rsidR="00AE3C7D" w:rsidRDefault="00AE3C7D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154" w:type="dxa"/>
          </w:tcPr>
          <w:p w:rsidR="00AE3C7D" w:rsidRDefault="0068247E" w:rsidP="00A27DC6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percentage reduction of metal emissions (Pb, Cd, or Hg) achieved;</w:t>
            </w:r>
          </w:p>
        </w:tc>
      </w:tr>
      <w:tr w:rsidR="00AE3C7D" w:rsidTr="00BC1EEB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140" w:type="dxa"/>
          </w:tcPr>
          <w:p w:rsidR="00AE3C7D" w:rsidRPr="001528C6" w:rsidRDefault="00AE3C7D" w:rsidP="00BC1EEB">
            <w:pPr>
              <w:widowControl w:val="0"/>
              <w:autoSpaceDE w:val="0"/>
              <w:autoSpaceDN w:val="0"/>
              <w:adjustRightInd w:val="0"/>
              <w:ind w:left="-44" w:right="-108"/>
            </w:pPr>
            <w:r>
              <w:t>E</w:t>
            </w:r>
            <w:r w:rsidRPr="0012328F">
              <w:rPr>
                <w:vertAlign w:val="subscript"/>
              </w:rPr>
              <w:t>i</w:t>
            </w:r>
          </w:p>
        </w:tc>
        <w:tc>
          <w:tcPr>
            <w:tcW w:w="236" w:type="dxa"/>
          </w:tcPr>
          <w:p w:rsidR="00AE3C7D" w:rsidRDefault="00AE3C7D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154" w:type="dxa"/>
          </w:tcPr>
          <w:p w:rsidR="00AE3C7D" w:rsidRDefault="0068247E" w:rsidP="00A27DC6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metal emissions concentration (Pb, Cd, or Hg) measured at the control device inlet, corrected to 7 percent oxygen (dry basis); and</w:t>
            </w:r>
          </w:p>
        </w:tc>
      </w:tr>
      <w:tr w:rsidR="00AE3C7D" w:rsidTr="00BC1EEB">
        <w:tblPrEx>
          <w:tblCellMar>
            <w:top w:w="0" w:type="dxa"/>
            <w:bottom w:w="0" w:type="dxa"/>
          </w:tblCellMar>
        </w:tblPrEx>
        <w:tc>
          <w:tcPr>
            <w:tcW w:w="1140" w:type="dxa"/>
          </w:tcPr>
          <w:p w:rsidR="00AE3C7D" w:rsidRDefault="00AE3C7D" w:rsidP="00BC1EEB">
            <w:pPr>
              <w:widowControl w:val="0"/>
              <w:autoSpaceDE w:val="0"/>
              <w:autoSpaceDN w:val="0"/>
              <w:adjustRightInd w:val="0"/>
              <w:ind w:left="-44" w:right="-108"/>
            </w:pPr>
            <w:r>
              <w:t>E</w:t>
            </w:r>
            <w:r w:rsidRPr="00AE3C7D">
              <w:rPr>
                <w:vertAlign w:val="subscript"/>
              </w:rPr>
              <w:t>O</w:t>
            </w:r>
          </w:p>
        </w:tc>
        <w:tc>
          <w:tcPr>
            <w:tcW w:w="236" w:type="dxa"/>
          </w:tcPr>
          <w:p w:rsidR="00AE3C7D" w:rsidRDefault="00AE3C7D" w:rsidP="00A27DC6">
            <w:pPr>
              <w:widowControl w:val="0"/>
              <w:autoSpaceDE w:val="0"/>
              <w:autoSpaceDN w:val="0"/>
              <w:adjustRightInd w:val="0"/>
              <w:ind w:left="-99" w:right="-114"/>
              <w:jc w:val="center"/>
            </w:pPr>
            <w:r>
              <w:t>=</w:t>
            </w:r>
          </w:p>
        </w:tc>
        <w:tc>
          <w:tcPr>
            <w:tcW w:w="6154" w:type="dxa"/>
          </w:tcPr>
          <w:p w:rsidR="00AE3C7D" w:rsidRDefault="00AE3C7D" w:rsidP="00A27DC6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metal emissions concentration (Pb, Cd, or Hg) measured at the control device outlet, corrected to 7 percent oxygen (dry basis).</w:t>
            </w:r>
          </w:p>
        </w:tc>
      </w:tr>
    </w:tbl>
    <w:p w:rsidR="00AE3C7D" w:rsidRDefault="00AE3C7D" w:rsidP="00A26352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A37FB7" w:rsidRPr="00D55B37" w:rsidRDefault="00A37FB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A609D">
        <w:t>16615</w:t>
      </w:r>
      <w:r w:rsidRPr="00D55B37">
        <w:t xml:space="preserve">, effective </w:t>
      </w:r>
      <w:r w:rsidR="003A609D">
        <w:t>September 30, 2011</w:t>
      </w:r>
      <w:r w:rsidRPr="00D55B37">
        <w:t>)</w:t>
      </w:r>
    </w:p>
    <w:sectPr w:rsidR="00A37FB7" w:rsidRPr="00D55B37" w:rsidSect="00E03C2E">
      <w:pgSz w:w="12240" w:h="15840"/>
      <w:pgMar w:top="1440" w:right="1440" w:bottom="1008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B9E"/>
    <w:rsid w:val="000B4FD7"/>
    <w:rsid w:val="0012328F"/>
    <w:rsid w:val="001528C6"/>
    <w:rsid w:val="00267B57"/>
    <w:rsid w:val="002951BB"/>
    <w:rsid w:val="002963BD"/>
    <w:rsid w:val="00316044"/>
    <w:rsid w:val="003A609D"/>
    <w:rsid w:val="004012F5"/>
    <w:rsid w:val="004F200A"/>
    <w:rsid w:val="00577760"/>
    <w:rsid w:val="005A4537"/>
    <w:rsid w:val="005C3366"/>
    <w:rsid w:val="006226CF"/>
    <w:rsid w:val="0068247E"/>
    <w:rsid w:val="007A322F"/>
    <w:rsid w:val="0082370F"/>
    <w:rsid w:val="009F737D"/>
    <w:rsid w:val="00A26352"/>
    <w:rsid w:val="00A27DC6"/>
    <w:rsid w:val="00A37FB7"/>
    <w:rsid w:val="00A97AEB"/>
    <w:rsid w:val="00AE3C7D"/>
    <w:rsid w:val="00BC1EEB"/>
    <w:rsid w:val="00BC5FA1"/>
    <w:rsid w:val="00DF395A"/>
    <w:rsid w:val="00E03C2E"/>
    <w:rsid w:val="00E96157"/>
    <w:rsid w:val="00F14B9E"/>
    <w:rsid w:val="00F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7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cp:lastPrinted>2003-04-01T18:21:00Z</cp:lastPrinted>
  <dcterms:created xsi:type="dcterms:W3CDTF">2012-06-21T19:50:00Z</dcterms:created>
  <dcterms:modified xsi:type="dcterms:W3CDTF">2012-06-21T19:50:00Z</dcterms:modified>
</cp:coreProperties>
</file>