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722C" w14:textId="77777777" w:rsidR="008450E6" w:rsidRPr="00DF6621" w:rsidRDefault="008450E6" w:rsidP="008450E6">
      <w:pPr>
        <w:jc w:val="center"/>
      </w:pPr>
      <w:r w:rsidRPr="00DF6621">
        <w:t xml:space="preserve">SUBPART A: </w:t>
      </w:r>
      <w:r w:rsidR="00164B43">
        <w:t xml:space="preserve"> </w:t>
      </w:r>
      <w:r w:rsidRPr="00DF6621">
        <w:t>GENERAL PROVISIONS</w:t>
      </w:r>
    </w:p>
    <w:p w14:paraId="2DCAF7A0" w14:textId="498EEC08" w:rsidR="008450E6" w:rsidRPr="00DF6621" w:rsidRDefault="008450E6" w:rsidP="00850913"/>
    <w:p w14:paraId="5E8A6F58" w14:textId="77777777" w:rsidR="00A77702" w:rsidRPr="00A77702" w:rsidRDefault="00A77702" w:rsidP="00A77702">
      <w:pPr>
        <w:tabs>
          <w:tab w:val="left" w:pos="-720"/>
        </w:tabs>
        <w:suppressAutoHyphens/>
      </w:pPr>
      <w:r w:rsidRPr="00A77702">
        <w:t xml:space="preserve">Section </w:t>
      </w:r>
    </w:p>
    <w:p w14:paraId="7FDE61F9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225.100</w:t>
      </w:r>
      <w:r w:rsidRPr="00A77702">
        <w:tab/>
        <w:t>Severability</w:t>
      </w:r>
    </w:p>
    <w:p w14:paraId="116199F3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225.120</w:t>
      </w:r>
      <w:r w:rsidRPr="00A77702">
        <w:tab/>
        <w:t>Abbreviations and Acronyms</w:t>
      </w:r>
    </w:p>
    <w:p w14:paraId="685BC8EE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225.130</w:t>
      </w:r>
      <w:r w:rsidRPr="00A77702">
        <w:tab/>
        <w:t>Definitions</w:t>
      </w:r>
    </w:p>
    <w:p w14:paraId="24384182" w14:textId="77777777" w:rsidR="00A77702" w:rsidRDefault="00A77702" w:rsidP="00A7770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</w:pPr>
      <w:r w:rsidRPr="00A77702">
        <w:t>225.140</w:t>
      </w:r>
      <w:r w:rsidRPr="00A77702">
        <w:tab/>
        <w:t>Incorporations by Reference</w:t>
      </w:r>
    </w:p>
    <w:p w14:paraId="1D35D30C" w14:textId="77777777" w:rsidR="008D123F" w:rsidRPr="00A77702" w:rsidRDefault="008D123F" w:rsidP="008D123F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</w:pPr>
      <w:r>
        <w:t>225.150</w:t>
      </w:r>
      <w:r>
        <w:tab/>
        <w:t>Commence Commercial Operation</w:t>
      </w:r>
    </w:p>
    <w:p w14:paraId="34EE3D64" w14:textId="77777777" w:rsidR="008D123F" w:rsidRPr="00A77702" w:rsidRDefault="008D123F" w:rsidP="00850913">
      <w:pPr>
        <w:tabs>
          <w:tab w:val="center" w:pos="4680"/>
        </w:tabs>
        <w:suppressAutoHyphens/>
      </w:pPr>
    </w:p>
    <w:p w14:paraId="32B5EA7D" w14:textId="77777777" w:rsidR="00164B43" w:rsidRDefault="00A77702" w:rsidP="00A77702">
      <w:pPr>
        <w:tabs>
          <w:tab w:val="center" w:pos="4680"/>
        </w:tabs>
        <w:suppressAutoHyphens/>
        <w:jc w:val="center"/>
      </w:pPr>
      <w:r w:rsidRPr="00A77702">
        <w:t xml:space="preserve">SUBPART B: </w:t>
      </w:r>
      <w:r w:rsidR="00164B43">
        <w:t xml:space="preserve"> </w:t>
      </w:r>
      <w:r w:rsidRPr="00A77702">
        <w:t>CONTROL OF MERCURY EMISSIONS</w:t>
      </w:r>
    </w:p>
    <w:p w14:paraId="07F189FE" w14:textId="77777777" w:rsidR="00A77702" w:rsidRPr="00A77702" w:rsidRDefault="00A77702" w:rsidP="00A77702">
      <w:pPr>
        <w:tabs>
          <w:tab w:val="center" w:pos="4680"/>
        </w:tabs>
        <w:suppressAutoHyphens/>
        <w:jc w:val="center"/>
      </w:pPr>
      <w:r w:rsidRPr="00A77702">
        <w:t>FROM COAL-FIRED ELECTRIC GENERATING UNITS</w:t>
      </w:r>
    </w:p>
    <w:p w14:paraId="58477AD0" w14:textId="77777777" w:rsidR="00A77702" w:rsidRPr="00A77702" w:rsidRDefault="00A77702" w:rsidP="00850913">
      <w:pPr>
        <w:tabs>
          <w:tab w:val="center" w:pos="4680"/>
        </w:tabs>
        <w:suppressAutoHyphens/>
      </w:pPr>
    </w:p>
    <w:p w14:paraId="493F577A" w14:textId="77777777" w:rsidR="00A77702" w:rsidRPr="00A77702" w:rsidRDefault="00A77702" w:rsidP="00A77702">
      <w:pPr>
        <w:tabs>
          <w:tab w:val="left" w:pos="-720"/>
        </w:tabs>
        <w:suppressAutoHyphens/>
      </w:pPr>
      <w:r w:rsidRPr="00A77702">
        <w:t xml:space="preserve">Section </w:t>
      </w:r>
    </w:p>
    <w:p w14:paraId="1E0BBBF6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225.200</w:t>
      </w:r>
      <w:r w:rsidRPr="00A77702">
        <w:tab/>
        <w:t>Purpose</w:t>
      </w:r>
    </w:p>
    <w:p w14:paraId="4336A1A3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225.202</w:t>
      </w:r>
      <w:r w:rsidRPr="00A77702">
        <w:tab/>
        <w:t>Measurement Methods</w:t>
      </w:r>
    </w:p>
    <w:p w14:paraId="21E3B8D1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225.205</w:t>
      </w:r>
      <w:r w:rsidRPr="00A77702">
        <w:tab/>
        <w:t>Applicability</w:t>
      </w:r>
    </w:p>
    <w:p w14:paraId="3835F228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225.210</w:t>
      </w:r>
      <w:r w:rsidRPr="00A77702">
        <w:tab/>
        <w:t>Compliance Requirements</w:t>
      </w:r>
    </w:p>
    <w:p w14:paraId="0897C645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225.220</w:t>
      </w:r>
      <w:r w:rsidRPr="00A77702">
        <w:tab/>
        <w:t>Clean Air Act Permit Program (</w:t>
      </w:r>
      <w:proofErr w:type="spellStart"/>
      <w:r w:rsidRPr="00A77702">
        <w:t>CAAPP</w:t>
      </w:r>
      <w:proofErr w:type="spellEnd"/>
      <w:r w:rsidRPr="00A77702">
        <w:t>) Permit Requirements</w:t>
      </w:r>
    </w:p>
    <w:p w14:paraId="419E0175" w14:textId="77777777" w:rsidR="00A77702" w:rsidRPr="00A77702" w:rsidRDefault="00A77702" w:rsidP="00A77702">
      <w:r w:rsidRPr="00A77702">
        <w:t>225.230</w:t>
      </w:r>
      <w:r w:rsidRPr="00A77702">
        <w:tab/>
        <w:t xml:space="preserve">Emission Standards for </w:t>
      </w:r>
      <w:proofErr w:type="spellStart"/>
      <w:r w:rsidRPr="00A77702">
        <w:t>EGUs</w:t>
      </w:r>
      <w:proofErr w:type="spellEnd"/>
      <w:r w:rsidRPr="00A77702">
        <w:t xml:space="preserve"> at Existing Sources</w:t>
      </w:r>
    </w:p>
    <w:p w14:paraId="65AACEC7" w14:textId="77777777" w:rsidR="00A77702" w:rsidRDefault="00A77702" w:rsidP="00A77702">
      <w:pPr>
        <w:tabs>
          <w:tab w:val="left" w:pos="1440"/>
        </w:tabs>
        <w:ind w:left="1440" w:hanging="1440"/>
      </w:pPr>
      <w:r w:rsidRPr="00A77702">
        <w:t>225.232</w:t>
      </w:r>
      <w:r w:rsidRPr="00A77702">
        <w:tab/>
        <w:t>Averaging Demonstrations for Existing Sources</w:t>
      </w:r>
    </w:p>
    <w:p w14:paraId="64CB89FF" w14:textId="77777777" w:rsidR="00A3657E" w:rsidRPr="00A3657E" w:rsidRDefault="00A3657E" w:rsidP="00A77702">
      <w:pPr>
        <w:tabs>
          <w:tab w:val="left" w:pos="1440"/>
        </w:tabs>
        <w:ind w:left="1440" w:hanging="1440"/>
      </w:pPr>
      <w:r w:rsidRPr="00A3657E">
        <w:t>225.233</w:t>
      </w:r>
      <w:r>
        <w:tab/>
        <w:t>Multi</w:t>
      </w:r>
      <w:r w:rsidR="007A35AE">
        <w:t>-</w:t>
      </w:r>
      <w:r>
        <w:t xml:space="preserve">Pollutant </w:t>
      </w:r>
      <w:r w:rsidR="0024223F">
        <w:t>Standards</w:t>
      </w:r>
      <w:r>
        <w:t xml:space="preserve"> (MPS)</w:t>
      </w:r>
    </w:p>
    <w:p w14:paraId="6F79F671" w14:textId="77777777" w:rsidR="001C5294" w:rsidRPr="00F6618B" w:rsidRDefault="001C5294" w:rsidP="001C5294">
      <w:r w:rsidRPr="00F6618B">
        <w:t>225.234</w:t>
      </w:r>
      <w:r w:rsidRPr="00F6618B">
        <w:tab/>
        <w:t xml:space="preserve">Temporary Technology-Based Standard for </w:t>
      </w:r>
      <w:proofErr w:type="spellStart"/>
      <w:r w:rsidRPr="00F6618B">
        <w:t>EGUs</w:t>
      </w:r>
      <w:proofErr w:type="spellEnd"/>
      <w:r w:rsidRPr="00F6618B">
        <w:t xml:space="preserve"> at Existing Sources</w:t>
      </w:r>
    </w:p>
    <w:p w14:paraId="34F04217" w14:textId="77777777" w:rsidR="00A77702" w:rsidRPr="00A77702" w:rsidRDefault="00A77702" w:rsidP="00A77702">
      <w:r w:rsidRPr="00A77702">
        <w:t>225.235</w:t>
      </w:r>
      <w:r w:rsidRPr="00A77702">
        <w:tab/>
        <w:t>Units Scheduled for Permanent Shut Down</w:t>
      </w:r>
    </w:p>
    <w:p w14:paraId="00243BB5" w14:textId="77777777" w:rsidR="00A77702" w:rsidRPr="00A77702" w:rsidRDefault="00A77702" w:rsidP="00A77702">
      <w:r w:rsidRPr="00A77702">
        <w:t>225.237</w:t>
      </w:r>
      <w:r w:rsidRPr="00A77702">
        <w:tab/>
        <w:t xml:space="preserve">Emission Standards for New Sources with </w:t>
      </w:r>
      <w:proofErr w:type="spellStart"/>
      <w:r w:rsidRPr="00A77702">
        <w:t>EGUs</w:t>
      </w:r>
      <w:proofErr w:type="spellEnd"/>
    </w:p>
    <w:p w14:paraId="09134FF2" w14:textId="77777777" w:rsidR="001C5294" w:rsidRPr="00F6618B" w:rsidRDefault="001C5294" w:rsidP="001C5294">
      <w:r w:rsidRPr="00F6618B">
        <w:t>225.238</w:t>
      </w:r>
      <w:r w:rsidRPr="00F6618B">
        <w:tab/>
        <w:t xml:space="preserve">Temporary Technology-Based Standard for New Sources with </w:t>
      </w:r>
      <w:proofErr w:type="spellStart"/>
      <w:r w:rsidRPr="00F6618B">
        <w:t>EGUs</w:t>
      </w:r>
      <w:proofErr w:type="spellEnd"/>
    </w:p>
    <w:p w14:paraId="44EEAB71" w14:textId="77777777" w:rsidR="008D123F" w:rsidRDefault="008D123F" w:rsidP="008D123F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225.239</w:t>
      </w:r>
      <w:r>
        <w:tab/>
        <w:t>Periodic Emissions Testing Alternative Requirements</w:t>
      </w:r>
    </w:p>
    <w:p w14:paraId="1333DC92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225.240</w:t>
      </w:r>
      <w:r w:rsidRPr="00A77702">
        <w:tab/>
        <w:t>General Monitoring and Reporting Requirements</w:t>
      </w:r>
    </w:p>
    <w:p w14:paraId="47A17F04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right="-720" w:hanging="1440"/>
      </w:pPr>
      <w:r w:rsidRPr="00A77702">
        <w:t>225.250</w:t>
      </w:r>
      <w:r w:rsidRPr="00A77702">
        <w:tab/>
        <w:t>Initial Certification and Recertification Procedures for Emissions Monitoring</w:t>
      </w:r>
    </w:p>
    <w:p w14:paraId="19929C37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225.260</w:t>
      </w:r>
      <w:r w:rsidRPr="00A77702">
        <w:tab/>
        <w:t>Out of Control Periods</w:t>
      </w:r>
      <w:r w:rsidR="001C2EA3">
        <w:t xml:space="preserve"> </w:t>
      </w:r>
      <w:r w:rsidR="008D123F">
        <w:t>and Data Availability</w:t>
      </w:r>
      <w:r w:rsidR="008D123F" w:rsidRPr="00A77702">
        <w:t xml:space="preserve"> </w:t>
      </w:r>
      <w:r w:rsidRPr="00A77702">
        <w:t>for Emission Monitors</w:t>
      </w:r>
    </w:p>
    <w:p w14:paraId="287FA2B4" w14:textId="77777777" w:rsidR="00A77702" w:rsidRPr="00A77702" w:rsidRDefault="00A77702" w:rsidP="00A77702">
      <w:r w:rsidRPr="00A77702">
        <w:t>225.261</w:t>
      </w:r>
      <w:r w:rsidRPr="00A77702">
        <w:tab/>
        <w:t>Additional Requirements to Provide Heat Input Data</w:t>
      </w:r>
    </w:p>
    <w:p w14:paraId="43919A1F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 xml:space="preserve">225.263 </w:t>
      </w:r>
      <w:r w:rsidRPr="00A77702">
        <w:tab/>
        <w:t>Monitoring of Gross Electrical Output</w:t>
      </w:r>
    </w:p>
    <w:p w14:paraId="43D28315" w14:textId="77777777" w:rsidR="00A77702" w:rsidRPr="00A77702" w:rsidRDefault="00A77702" w:rsidP="00A77702">
      <w:pPr>
        <w:ind w:left="1440" w:hanging="1440"/>
      </w:pPr>
      <w:r w:rsidRPr="00A77702">
        <w:t>225.265</w:t>
      </w:r>
      <w:r w:rsidRPr="00A77702">
        <w:tab/>
        <w:t>Coal Analysis for Input Mercury Levels</w:t>
      </w:r>
    </w:p>
    <w:p w14:paraId="7DFBA513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225.270</w:t>
      </w:r>
      <w:r w:rsidRPr="00A77702">
        <w:tab/>
        <w:t>Notifications</w:t>
      </w:r>
    </w:p>
    <w:p w14:paraId="39F8D20C" w14:textId="77777777" w:rsidR="00A77702" w:rsidRP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 xml:space="preserve">225.290 </w:t>
      </w:r>
      <w:r w:rsidRPr="00A77702">
        <w:tab/>
        <w:t>Recordkeeping and Reporting</w:t>
      </w:r>
    </w:p>
    <w:p w14:paraId="199EF1D9" w14:textId="77777777" w:rsidR="00295ADB" w:rsidRPr="00557395" w:rsidRDefault="00295ADB" w:rsidP="00295ADB">
      <w:r w:rsidRPr="00557395">
        <w:t>225.291</w:t>
      </w:r>
      <w:r>
        <w:tab/>
      </w:r>
      <w:r w:rsidRPr="00557395">
        <w:t>Combined Pollutant Standard: Purpose</w:t>
      </w:r>
    </w:p>
    <w:p w14:paraId="01B0E35C" w14:textId="77777777" w:rsidR="00295ADB" w:rsidRPr="00557395" w:rsidRDefault="00295ADB" w:rsidP="00295ADB">
      <w:r w:rsidRPr="00557395">
        <w:t>225.292</w:t>
      </w:r>
      <w:r>
        <w:tab/>
      </w:r>
      <w:r w:rsidRPr="00557395">
        <w:t>Applicability of the Combined Pollutant Standard</w:t>
      </w:r>
    </w:p>
    <w:p w14:paraId="7A0EE582" w14:textId="77777777" w:rsidR="00295ADB" w:rsidRPr="00557395" w:rsidRDefault="00295ADB" w:rsidP="00295ADB">
      <w:r w:rsidRPr="00557395">
        <w:t>225.293</w:t>
      </w:r>
      <w:r>
        <w:tab/>
      </w:r>
      <w:r w:rsidRPr="00557395">
        <w:t>Combined Pollutant Standard: Notice of Intent</w:t>
      </w:r>
    </w:p>
    <w:p w14:paraId="2887A910" w14:textId="77777777" w:rsidR="00295ADB" w:rsidRPr="00557395" w:rsidRDefault="00295ADB" w:rsidP="00295ADB">
      <w:pPr>
        <w:ind w:left="1440" w:hanging="1440"/>
      </w:pPr>
      <w:r w:rsidRPr="00557395">
        <w:t>225.294</w:t>
      </w:r>
      <w:r>
        <w:tab/>
      </w:r>
      <w:r w:rsidRPr="00557395">
        <w:t xml:space="preserve">Combined Pollutant Standard: Control Technology Requirements and Emissions Standards for Mercury </w:t>
      </w:r>
    </w:p>
    <w:p w14:paraId="776D8687" w14:textId="77777777" w:rsidR="00A77702" w:rsidRDefault="00A77702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 w:rsidRPr="00A77702">
        <w:t>225.295</w:t>
      </w:r>
      <w:r w:rsidRPr="00A77702">
        <w:tab/>
      </w:r>
      <w:r w:rsidR="001C2EA3">
        <w:t>Combined</w:t>
      </w:r>
      <w:r w:rsidR="00192F7F">
        <w:t xml:space="preserve"> </w:t>
      </w:r>
      <w:r w:rsidR="001C2EA3">
        <w:t>Pollutant Standard:  Emissions Standards for NO</w:t>
      </w:r>
      <w:r w:rsidR="001C2EA3" w:rsidRPr="001C2EA3">
        <w:rPr>
          <w:vertAlign w:val="subscript"/>
        </w:rPr>
        <w:t>x</w:t>
      </w:r>
      <w:r w:rsidR="001C2EA3">
        <w:t xml:space="preserve"> and </w:t>
      </w:r>
      <w:proofErr w:type="spellStart"/>
      <w:r w:rsidR="001C2EA3">
        <w:t>SO</w:t>
      </w:r>
      <w:r w:rsidR="001C2EA3" w:rsidRPr="001C2EA3">
        <w:rPr>
          <w:vertAlign w:val="subscript"/>
        </w:rPr>
        <w:t>2</w:t>
      </w:r>
      <w:proofErr w:type="spellEnd"/>
    </w:p>
    <w:p w14:paraId="3FCEE054" w14:textId="77777777" w:rsidR="00295ADB" w:rsidRPr="00557395" w:rsidRDefault="00295ADB" w:rsidP="00295ADB">
      <w:pPr>
        <w:ind w:left="1440" w:hanging="1440"/>
      </w:pPr>
      <w:r w:rsidRPr="00557395">
        <w:t>225.296</w:t>
      </w:r>
      <w:r>
        <w:tab/>
      </w:r>
      <w:r w:rsidRPr="00557395">
        <w:t>Combined Pollutant Standard: Control Technology Requirements for NO</w:t>
      </w:r>
      <w:r w:rsidRPr="00295ADB">
        <w:rPr>
          <w:vertAlign w:val="subscript"/>
        </w:rPr>
        <w:t>x</w:t>
      </w:r>
      <w:r w:rsidRPr="00557395">
        <w:t xml:space="preserve">, </w:t>
      </w:r>
      <w:proofErr w:type="spellStart"/>
      <w:r w:rsidRPr="00557395">
        <w:t>SO</w:t>
      </w:r>
      <w:r w:rsidRPr="00295ADB">
        <w:rPr>
          <w:vertAlign w:val="subscript"/>
        </w:rPr>
        <w:t>2</w:t>
      </w:r>
      <w:proofErr w:type="spellEnd"/>
      <w:r w:rsidRPr="00557395">
        <w:t>, and PM Emissions</w:t>
      </w:r>
    </w:p>
    <w:p w14:paraId="7E80D6F2" w14:textId="77777777" w:rsidR="00295ADB" w:rsidRPr="00557395" w:rsidRDefault="00295ADB" w:rsidP="00295ADB">
      <w:r w:rsidRPr="00557395">
        <w:t>225.297</w:t>
      </w:r>
      <w:r>
        <w:tab/>
      </w:r>
      <w:r w:rsidRPr="00557395">
        <w:t>Combined Pollutant Standard: Permanent Shut-Downs</w:t>
      </w:r>
    </w:p>
    <w:p w14:paraId="2FC2F95A" w14:textId="77777777" w:rsidR="00295ADB" w:rsidRPr="00557395" w:rsidRDefault="00295ADB" w:rsidP="00295ADB">
      <w:r w:rsidRPr="00557395">
        <w:t>225.298</w:t>
      </w:r>
      <w:r>
        <w:tab/>
      </w:r>
      <w:r w:rsidRPr="00557395">
        <w:t>Combined Pollutant Standard: Requirements for NO</w:t>
      </w:r>
      <w:r w:rsidRPr="00295ADB">
        <w:rPr>
          <w:vertAlign w:val="subscript"/>
        </w:rPr>
        <w:t>x</w:t>
      </w:r>
      <w:r w:rsidRPr="00557395">
        <w:t xml:space="preserve"> and </w:t>
      </w:r>
      <w:proofErr w:type="spellStart"/>
      <w:r w:rsidRPr="00557395">
        <w:t>SO</w:t>
      </w:r>
      <w:r w:rsidRPr="00295ADB">
        <w:rPr>
          <w:vertAlign w:val="subscript"/>
        </w:rPr>
        <w:t>2</w:t>
      </w:r>
      <w:proofErr w:type="spellEnd"/>
      <w:r w:rsidRPr="00557395">
        <w:t xml:space="preserve"> Allowances</w:t>
      </w:r>
    </w:p>
    <w:p w14:paraId="65E4B9D9" w14:textId="77777777" w:rsidR="00295ADB" w:rsidRPr="00557395" w:rsidRDefault="00295ADB" w:rsidP="00295ADB">
      <w:r w:rsidRPr="00557395">
        <w:t>225.299</w:t>
      </w:r>
      <w:r>
        <w:tab/>
      </w:r>
      <w:r w:rsidRPr="00557395">
        <w:t xml:space="preserve">Combined Pollutant Standard: Clean Air Act Requirements </w:t>
      </w:r>
    </w:p>
    <w:p w14:paraId="12BAB6F7" w14:textId="77777777" w:rsidR="00295ADB" w:rsidRDefault="00295ADB" w:rsidP="00A77702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</w:p>
    <w:p w14:paraId="2009E23F" w14:textId="77777777" w:rsidR="00573EE5" w:rsidRDefault="00B957A4" w:rsidP="00B957A4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jc w:val="center"/>
        <w:rPr>
          <w:bCs/>
        </w:rPr>
      </w:pPr>
      <w:r w:rsidRPr="00E037A6">
        <w:rPr>
          <w:bCs/>
        </w:rPr>
        <w:lastRenderedPageBreak/>
        <w:t xml:space="preserve">SUBPART C:  CLEAN AIR ACT INTERSTATE </w:t>
      </w:r>
    </w:p>
    <w:p w14:paraId="36394D6D" w14:textId="77777777" w:rsidR="00B957A4" w:rsidRPr="00E037A6" w:rsidRDefault="00B957A4" w:rsidP="00B957A4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jc w:val="center"/>
        <w:rPr>
          <w:bCs/>
        </w:rPr>
      </w:pPr>
      <w:r w:rsidRPr="00E037A6">
        <w:rPr>
          <w:bCs/>
        </w:rPr>
        <w:t>RULE</w:t>
      </w:r>
      <w:r w:rsidR="00573EE5">
        <w:rPr>
          <w:bCs/>
        </w:rPr>
        <w:t xml:space="preserve"> </w:t>
      </w:r>
      <w:r w:rsidRPr="00E037A6">
        <w:rPr>
          <w:bCs/>
        </w:rPr>
        <w:t xml:space="preserve">(CAIR) </w:t>
      </w:r>
      <w:proofErr w:type="spellStart"/>
      <w:r w:rsidRPr="00E037A6">
        <w:rPr>
          <w:bCs/>
        </w:rPr>
        <w:t>SO</w:t>
      </w:r>
      <w:r w:rsidRPr="00E037A6">
        <w:rPr>
          <w:bCs/>
          <w:vertAlign w:val="subscript"/>
        </w:rPr>
        <w:t>2</w:t>
      </w:r>
      <w:proofErr w:type="spellEnd"/>
      <w:r w:rsidRPr="00E037A6">
        <w:rPr>
          <w:bCs/>
        </w:rPr>
        <w:t xml:space="preserve"> TRADING PROGRAM</w:t>
      </w:r>
    </w:p>
    <w:p w14:paraId="4F5C0D76" w14:textId="77777777" w:rsidR="00B957A4" w:rsidRPr="009710A0" w:rsidRDefault="00B957A4" w:rsidP="009710A0"/>
    <w:p w14:paraId="197D50EB" w14:textId="77777777" w:rsidR="00B957A4" w:rsidRPr="009710A0" w:rsidRDefault="00B957A4" w:rsidP="009710A0">
      <w:r w:rsidRPr="009710A0">
        <w:t>Section</w:t>
      </w:r>
    </w:p>
    <w:p w14:paraId="7796142B" w14:textId="77777777" w:rsidR="00B957A4" w:rsidRPr="00E037A6" w:rsidRDefault="00B957A4" w:rsidP="00321E5F">
      <w:pPr>
        <w:widowControl w:val="0"/>
      </w:pPr>
      <w:r w:rsidRPr="00E037A6">
        <w:t>225.300</w:t>
      </w:r>
      <w:r w:rsidRPr="00E037A6">
        <w:tab/>
        <w:t>Purpose</w:t>
      </w:r>
    </w:p>
    <w:p w14:paraId="5390BCCA" w14:textId="77777777" w:rsidR="00B957A4" w:rsidRPr="00E037A6" w:rsidRDefault="00B957A4" w:rsidP="00321E5F">
      <w:pPr>
        <w:widowControl w:val="0"/>
      </w:pPr>
      <w:r w:rsidRPr="00E037A6">
        <w:t>225.305</w:t>
      </w:r>
      <w:r w:rsidRPr="00E037A6">
        <w:tab/>
        <w:t>Applicability</w:t>
      </w:r>
    </w:p>
    <w:p w14:paraId="72A7854B" w14:textId="77777777" w:rsidR="00B957A4" w:rsidRPr="00E037A6" w:rsidRDefault="00B957A4" w:rsidP="00321E5F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</w:pPr>
      <w:r w:rsidRPr="00E037A6">
        <w:t>225.310</w:t>
      </w:r>
      <w:r w:rsidRPr="00E037A6">
        <w:tab/>
        <w:t>Compliance Requirements</w:t>
      </w:r>
    </w:p>
    <w:p w14:paraId="1FB18E60" w14:textId="77777777" w:rsidR="00B957A4" w:rsidRPr="00E037A6" w:rsidRDefault="00B957A4" w:rsidP="00B957A4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</w:pPr>
      <w:r w:rsidRPr="00E037A6">
        <w:t>225.315</w:t>
      </w:r>
      <w:r w:rsidRPr="00E037A6">
        <w:tab/>
        <w:t>Appeal Procedures</w:t>
      </w:r>
    </w:p>
    <w:p w14:paraId="79AFC3BA" w14:textId="77777777" w:rsidR="00B957A4" w:rsidRPr="00E037A6" w:rsidRDefault="00B957A4" w:rsidP="00B957A4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</w:pPr>
      <w:r w:rsidRPr="00E037A6">
        <w:t>225.320</w:t>
      </w:r>
      <w:r>
        <w:tab/>
      </w:r>
      <w:r w:rsidRPr="00E037A6">
        <w:t>Permit Requirements</w:t>
      </w:r>
    </w:p>
    <w:p w14:paraId="66F4A204" w14:textId="77777777" w:rsidR="00B957A4" w:rsidRPr="00E037A6" w:rsidRDefault="00B957A4" w:rsidP="00B957A4">
      <w:pPr>
        <w:pStyle w:val="Header"/>
        <w:widowControl w:val="0"/>
        <w:tabs>
          <w:tab w:val="clear" w:pos="4320"/>
          <w:tab w:val="clear" w:pos="8640"/>
          <w:tab w:val="left" w:pos="-1440"/>
        </w:tabs>
        <w:overflowPunct w:val="0"/>
        <w:autoSpaceDE w:val="0"/>
        <w:autoSpaceDN w:val="0"/>
        <w:adjustRightInd w:val="0"/>
      </w:pPr>
      <w:r w:rsidRPr="00E037A6">
        <w:t>225.325</w:t>
      </w:r>
      <w:r w:rsidRPr="00E037A6">
        <w:tab/>
        <w:t>Trading Program</w:t>
      </w:r>
    </w:p>
    <w:p w14:paraId="51F85F93" w14:textId="77777777" w:rsidR="00B957A4" w:rsidRPr="00E037A6" w:rsidRDefault="00B957A4" w:rsidP="00B957A4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</w:pPr>
    </w:p>
    <w:p w14:paraId="4077685D" w14:textId="77777777" w:rsidR="00B957A4" w:rsidRPr="00E037A6" w:rsidRDefault="00B957A4" w:rsidP="00B957A4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jc w:val="center"/>
        <w:rPr>
          <w:bCs/>
        </w:rPr>
      </w:pPr>
      <w:r w:rsidRPr="00E037A6">
        <w:rPr>
          <w:bCs/>
        </w:rPr>
        <w:t>SUBPART D:  CAIR NO</w:t>
      </w:r>
      <w:r w:rsidRPr="00E037A6">
        <w:rPr>
          <w:bCs/>
          <w:vertAlign w:val="subscript"/>
        </w:rPr>
        <w:t>x</w:t>
      </w:r>
      <w:r w:rsidRPr="00E037A6">
        <w:rPr>
          <w:bCs/>
        </w:rPr>
        <w:t xml:space="preserve"> ANNUAL TRADING PROGRAM</w:t>
      </w:r>
    </w:p>
    <w:p w14:paraId="3FEB8915" w14:textId="77777777" w:rsidR="00B957A4" w:rsidRPr="00850913" w:rsidRDefault="00B957A4" w:rsidP="00B957A4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rPr>
          <w:bCs/>
        </w:rPr>
      </w:pPr>
    </w:p>
    <w:p w14:paraId="49F6C78A" w14:textId="77777777" w:rsidR="00B957A4" w:rsidRPr="00E037A6" w:rsidRDefault="00B957A4" w:rsidP="00B957A4">
      <w:r w:rsidRPr="00E037A6">
        <w:t>Section</w:t>
      </w:r>
    </w:p>
    <w:p w14:paraId="1B51DBF7" w14:textId="77777777" w:rsidR="00B957A4" w:rsidRPr="00E037A6" w:rsidRDefault="00B957A4" w:rsidP="00B957A4">
      <w:pPr>
        <w:rPr>
          <w:bCs/>
        </w:rPr>
      </w:pPr>
      <w:r w:rsidRPr="00E037A6">
        <w:rPr>
          <w:bCs/>
        </w:rPr>
        <w:t>225.400</w:t>
      </w:r>
      <w:r w:rsidRPr="00E037A6">
        <w:rPr>
          <w:bCs/>
        </w:rPr>
        <w:tab/>
        <w:t>Purpose</w:t>
      </w:r>
    </w:p>
    <w:p w14:paraId="2E705C9C" w14:textId="77777777" w:rsidR="00B957A4" w:rsidRPr="00E037A6" w:rsidRDefault="00B957A4" w:rsidP="00B957A4">
      <w:pPr>
        <w:rPr>
          <w:bCs/>
        </w:rPr>
      </w:pPr>
      <w:r w:rsidRPr="00E037A6">
        <w:rPr>
          <w:bCs/>
        </w:rPr>
        <w:t>225.405</w:t>
      </w:r>
      <w:r w:rsidRPr="00E037A6">
        <w:rPr>
          <w:bCs/>
        </w:rPr>
        <w:tab/>
        <w:t>Applicability</w:t>
      </w:r>
    </w:p>
    <w:p w14:paraId="279DAA42" w14:textId="77777777" w:rsidR="00B957A4" w:rsidRPr="00E037A6" w:rsidRDefault="00B957A4" w:rsidP="00B957A4">
      <w:pPr>
        <w:rPr>
          <w:bCs/>
        </w:rPr>
      </w:pPr>
      <w:r w:rsidRPr="00E037A6">
        <w:rPr>
          <w:bCs/>
        </w:rPr>
        <w:t>225.410</w:t>
      </w:r>
      <w:r w:rsidRPr="00E037A6">
        <w:rPr>
          <w:bCs/>
        </w:rPr>
        <w:tab/>
        <w:t>Compliance Requirements</w:t>
      </w:r>
    </w:p>
    <w:p w14:paraId="66997ACB" w14:textId="77777777" w:rsidR="00B957A4" w:rsidRPr="00E037A6" w:rsidRDefault="00B957A4" w:rsidP="00B957A4">
      <w:pPr>
        <w:rPr>
          <w:bCs/>
        </w:rPr>
      </w:pPr>
      <w:r w:rsidRPr="00E037A6">
        <w:rPr>
          <w:bCs/>
        </w:rPr>
        <w:t>225.415</w:t>
      </w:r>
      <w:r w:rsidRPr="00E037A6">
        <w:rPr>
          <w:bCs/>
        </w:rPr>
        <w:tab/>
        <w:t>Appeal Procedures</w:t>
      </w:r>
    </w:p>
    <w:p w14:paraId="2908AF44" w14:textId="77777777" w:rsidR="00B957A4" w:rsidRPr="00E037A6" w:rsidRDefault="00B957A4" w:rsidP="00B957A4">
      <w:pPr>
        <w:rPr>
          <w:bCs/>
        </w:rPr>
      </w:pPr>
      <w:r w:rsidRPr="00E037A6">
        <w:rPr>
          <w:bCs/>
        </w:rPr>
        <w:t>225.420</w:t>
      </w:r>
      <w:r w:rsidRPr="00E037A6">
        <w:rPr>
          <w:bCs/>
        </w:rPr>
        <w:tab/>
        <w:t>Permit Requirements</w:t>
      </w:r>
    </w:p>
    <w:p w14:paraId="4D387E4C" w14:textId="77777777" w:rsidR="00B957A4" w:rsidRPr="00E037A6" w:rsidRDefault="00B957A4" w:rsidP="00B957A4">
      <w:r w:rsidRPr="00E037A6">
        <w:rPr>
          <w:bCs/>
        </w:rPr>
        <w:t>225.425</w:t>
      </w:r>
      <w:r w:rsidRPr="00E037A6">
        <w:rPr>
          <w:bCs/>
        </w:rPr>
        <w:tab/>
      </w:r>
      <w:r w:rsidRPr="00E037A6">
        <w:t>Annual Trading Budget</w:t>
      </w:r>
      <w:r w:rsidRPr="00E037A6">
        <w:br/>
        <w:t>225.430</w:t>
      </w:r>
      <w:r w:rsidRPr="00E037A6">
        <w:tab/>
        <w:t>Timing for Annual Allocations</w:t>
      </w:r>
    </w:p>
    <w:p w14:paraId="0B52051A" w14:textId="77777777" w:rsidR="00B957A4" w:rsidRPr="00E037A6" w:rsidRDefault="00B957A4" w:rsidP="00B957A4">
      <w:r w:rsidRPr="00E037A6">
        <w:t>225.435</w:t>
      </w:r>
      <w:r w:rsidRPr="00E037A6">
        <w:tab/>
        <w:t xml:space="preserve">Methodology for Calculating Annual Allocations </w:t>
      </w:r>
    </w:p>
    <w:p w14:paraId="649A619A" w14:textId="77777777" w:rsidR="00B957A4" w:rsidRPr="00E037A6" w:rsidRDefault="00B957A4" w:rsidP="00B957A4">
      <w:r w:rsidRPr="00E037A6">
        <w:t>225.440</w:t>
      </w:r>
      <w:r w:rsidRPr="00E037A6">
        <w:tab/>
        <w:t xml:space="preserve">Annual Allocations </w:t>
      </w:r>
    </w:p>
    <w:p w14:paraId="119F42C4" w14:textId="77777777" w:rsidR="00B957A4" w:rsidRPr="00E037A6" w:rsidRDefault="00B957A4" w:rsidP="00B957A4">
      <w:r w:rsidRPr="00E037A6">
        <w:t>225.445</w:t>
      </w:r>
      <w:r w:rsidRPr="00E037A6">
        <w:tab/>
        <w:t>New Unit Set-Aside (NUSA)</w:t>
      </w:r>
    </w:p>
    <w:p w14:paraId="25D1094F" w14:textId="77777777" w:rsidR="00B957A4" w:rsidRPr="00E037A6" w:rsidRDefault="00B957A4" w:rsidP="00B957A4">
      <w:pPr>
        <w:ind w:left="1440" w:hanging="1440"/>
      </w:pPr>
      <w:r w:rsidRPr="00E037A6">
        <w:t>225.450</w:t>
      </w:r>
      <w:r w:rsidRPr="00E037A6">
        <w:tab/>
        <w:t>Monitoring, Recordkeeping and Reporting Requirements for Gross Electrical Output and Useful Thermal Energy</w:t>
      </w:r>
    </w:p>
    <w:p w14:paraId="5F5EE6B3" w14:textId="77777777" w:rsidR="00B957A4" w:rsidRPr="00E037A6" w:rsidRDefault="00B957A4" w:rsidP="00B957A4">
      <w:r w:rsidRPr="00E037A6">
        <w:t>225.455</w:t>
      </w:r>
      <w:r w:rsidRPr="00E037A6">
        <w:tab/>
        <w:t>Clean Air Set-Aside (CASA)</w:t>
      </w:r>
    </w:p>
    <w:p w14:paraId="56C55A69" w14:textId="77777777" w:rsidR="00B957A4" w:rsidRPr="00E037A6" w:rsidRDefault="00B957A4" w:rsidP="00B957A4">
      <w:pPr>
        <w:ind w:left="1440" w:hanging="1440"/>
      </w:pPr>
      <w:r w:rsidRPr="00E037A6">
        <w:t>225.460</w:t>
      </w:r>
      <w:r w:rsidRPr="00E037A6">
        <w:tab/>
        <w:t>Energy Efficiency and Conservation, Renewable Energy, and Clean Technology Projects</w:t>
      </w:r>
    </w:p>
    <w:p w14:paraId="6C2A51DF" w14:textId="77777777" w:rsidR="00B957A4" w:rsidRPr="00E037A6" w:rsidRDefault="00B957A4" w:rsidP="00B957A4">
      <w:r w:rsidRPr="00E037A6">
        <w:t>225.465</w:t>
      </w:r>
      <w:r w:rsidRPr="00E037A6">
        <w:tab/>
        <w:t>Clean Air Set-Aside (CASA) Allowances</w:t>
      </w:r>
    </w:p>
    <w:p w14:paraId="2E93CF26" w14:textId="77777777" w:rsidR="00B957A4" w:rsidRPr="00E037A6" w:rsidRDefault="00B957A4" w:rsidP="00B957A4">
      <w:r w:rsidRPr="00E037A6">
        <w:t>225.470</w:t>
      </w:r>
      <w:r w:rsidRPr="00E037A6">
        <w:tab/>
        <w:t>Clean Air Set-Aside (CASA) Applications</w:t>
      </w:r>
    </w:p>
    <w:p w14:paraId="777EB773" w14:textId="77777777" w:rsidR="00376541" w:rsidRDefault="00B957A4" w:rsidP="00B957A4">
      <w:pPr>
        <w:widowControl w:val="0"/>
        <w:overflowPunct w:val="0"/>
        <w:autoSpaceDE w:val="0"/>
        <w:autoSpaceDN w:val="0"/>
        <w:adjustRightInd w:val="0"/>
      </w:pPr>
      <w:r w:rsidRPr="00E037A6">
        <w:t>225.475</w:t>
      </w:r>
      <w:r w:rsidRPr="00E037A6">
        <w:tab/>
        <w:t>Agency Action on Clean Air Set-Aside (CASA) Applications</w:t>
      </w:r>
    </w:p>
    <w:p w14:paraId="53509E07" w14:textId="77777777" w:rsidR="00B957A4" w:rsidRPr="00E037A6" w:rsidRDefault="00B957A4" w:rsidP="00B957A4">
      <w:pPr>
        <w:widowControl w:val="0"/>
        <w:overflowPunct w:val="0"/>
        <w:autoSpaceDE w:val="0"/>
        <w:autoSpaceDN w:val="0"/>
        <w:adjustRightInd w:val="0"/>
      </w:pPr>
      <w:r w:rsidRPr="00E037A6">
        <w:t>225.480</w:t>
      </w:r>
      <w:r w:rsidRPr="00E037A6">
        <w:tab/>
        <w:t>Compliance Supplement Pool</w:t>
      </w:r>
    </w:p>
    <w:p w14:paraId="56CB5812" w14:textId="77777777" w:rsidR="00B957A4" w:rsidRPr="00E037A6" w:rsidRDefault="00B957A4" w:rsidP="00B957A4">
      <w:pPr>
        <w:widowControl w:val="0"/>
        <w:overflowPunct w:val="0"/>
        <w:autoSpaceDE w:val="0"/>
        <w:autoSpaceDN w:val="0"/>
        <w:adjustRightInd w:val="0"/>
      </w:pPr>
    </w:p>
    <w:p w14:paraId="51FE8919" w14:textId="77777777" w:rsidR="00B957A4" w:rsidRPr="00E037A6" w:rsidRDefault="00B957A4" w:rsidP="00B957A4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jc w:val="center"/>
        <w:rPr>
          <w:bCs/>
        </w:rPr>
      </w:pPr>
      <w:r w:rsidRPr="00E037A6">
        <w:rPr>
          <w:bCs/>
        </w:rPr>
        <w:t>SUBPART E:  CAIR NO</w:t>
      </w:r>
      <w:r w:rsidRPr="00E037A6">
        <w:rPr>
          <w:bCs/>
          <w:vertAlign w:val="subscript"/>
        </w:rPr>
        <w:t>x</w:t>
      </w:r>
      <w:r w:rsidRPr="00E037A6">
        <w:rPr>
          <w:bCs/>
        </w:rPr>
        <w:t xml:space="preserve"> OZONE SEASON TRADING PROGRAM</w:t>
      </w:r>
    </w:p>
    <w:p w14:paraId="2CDE66C4" w14:textId="77777777" w:rsidR="00B957A4" w:rsidRPr="00E037A6" w:rsidRDefault="00B957A4" w:rsidP="00B957A4">
      <w:pPr>
        <w:widowControl w:val="0"/>
        <w:overflowPunct w:val="0"/>
        <w:autoSpaceDE w:val="0"/>
        <w:autoSpaceDN w:val="0"/>
        <w:adjustRightInd w:val="0"/>
        <w:rPr>
          <w:bCs/>
        </w:rPr>
      </w:pPr>
    </w:p>
    <w:p w14:paraId="6B192925" w14:textId="77777777" w:rsidR="00B957A4" w:rsidRPr="00E037A6" w:rsidRDefault="00B957A4" w:rsidP="00A811DA">
      <w:pPr>
        <w:widowControl w:val="0"/>
        <w:overflowPunct w:val="0"/>
        <w:autoSpaceDE w:val="0"/>
        <w:autoSpaceDN w:val="0"/>
        <w:adjustRightInd w:val="0"/>
        <w:ind w:left="1425" w:hanging="1425"/>
        <w:rPr>
          <w:bCs/>
        </w:rPr>
      </w:pPr>
      <w:r w:rsidRPr="00E037A6">
        <w:rPr>
          <w:bCs/>
        </w:rPr>
        <w:t>Section</w:t>
      </w:r>
    </w:p>
    <w:p w14:paraId="3F4C5645" w14:textId="77777777" w:rsidR="00B957A4" w:rsidRPr="00E037A6" w:rsidRDefault="00B957A4" w:rsidP="00A811DA">
      <w:pPr>
        <w:ind w:left="1425" w:hanging="1425"/>
      </w:pPr>
      <w:r w:rsidRPr="00E037A6">
        <w:t>225.500</w:t>
      </w:r>
      <w:r w:rsidRPr="00E037A6">
        <w:tab/>
        <w:t>Purpose</w:t>
      </w:r>
    </w:p>
    <w:p w14:paraId="6E966935" w14:textId="77777777" w:rsidR="00B957A4" w:rsidRPr="00E037A6" w:rsidRDefault="00B957A4" w:rsidP="00A811DA">
      <w:pPr>
        <w:ind w:left="1425" w:hanging="1425"/>
      </w:pPr>
      <w:r w:rsidRPr="00E037A6">
        <w:t>225.505</w:t>
      </w:r>
      <w:r w:rsidRPr="00E037A6">
        <w:tab/>
        <w:t>Applicability</w:t>
      </w:r>
    </w:p>
    <w:p w14:paraId="1B4F15C9" w14:textId="77777777" w:rsidR="00B957A4" w:rsidRPr="00E037A6" w:rsidRDefault="00B957A4" w:rsidP="00A811DA">
      <w:pPr>
        <w:ind w:left="1425" w:hanging="1425"/>
      </w:pPr>
      <w:r w:rsidRPr="00E037A6">
        <w:t>225.510</w:t>
      </w:r>
      <w:r w:rsidRPr="00E037A6">
        <w:tab/>
        <w:t>Compliance Requirements</w:t>
      </w:r>
    </w:p>
    <w:p w14:paraId="4403797D" w14:textId="77777777" w:rsidR="00B957A4" w:rsidRPr="00E037A6" w:rsidRDefault="00B957A4" w:rsidP="00A811DA">
      <w:pPr>
        <w:ind w:left="1425" w:hanging="1425"/>
      </w:pPr>
      <w:r w:rsidRPr="00E037A6">
        <w:t>225.515</w:t>
      </w:r>
      <w:r w:rsidRPr="00E037A6">
        <w:tab/>
        <w:t>Appeal Procedures</w:t>
      </w:r>
    </w:p>
    <w:p w14:paraId="54589676" w14:textId="77777777" w:rsidR="00B957A4" w:rsidRPr="00E037A6" w:rsidRDefault="00B957A4" w:rsidP="00A811DA">
      <w:pPr>
        <w:ind w:left="1425" w:hanging="1425"/>
      </w:pPr>
      <w:r w:rsidRPr="00E037A6">
        <w:t>225.520</w:t>
      </w:r>
      <w:r w:rsidRPr="00E037A6">
        <w:tab/>
        <w:t>Permit Requirements</w:t>
      </w:r>
    </w:p>
    <w:p w14:paraId="659115D7" w14:textId="77777777" w:rsidR="00B957A4" w:rsidRPr="00E037A6" w:rsidRDefault="00B957A4" w:rsidP="00A811DA">
      <w:pPr>
        <w:ind w:left="1425" w:hanging="1425"/>
      </w:pPr>
      <w:r w:rsidRPr="00E037A6">
        <w:t>225.525</w:t>
      </w:r>
      <w:r w:rsidRPr="00E037A6">
        <w:tab/>
      </w:r>
      <w:r w:rsidRPr="00E037A6">
        <w:rPr>
          <w:bCs/>
        </w:rPr>
        <w:t xml:space="preserve">Ozone Season </w:t>
      </w:r>
      <w:r w:rsidRPr="00E037A6">
        <w:t>Trading Budget</w:t>
      </w:r>
    </w:p>
    <w:p w14:paraId="09FFC54E" w14:textId="77777777" w:rsidR="00B957A4" w:rsidRPr="00E037A6" w:rsidRDefault="00B957A4" w:rsidP="00A811DA">
      <w:pPr>
        <w:ind w:left="1425" w:hanging="1425"/>
      </w:pPr>
      <w:r w:rsidRPr="00E037A6">
        <w:t>225.530</w:t>
      </w:r>
      <w:r w:rsidRPr="00E037A6">
        <w:tab/>
        <w:t>Timing for Ozone Season Allocations</w:t>
      </w:r>
    </w:p>
    <w:p w14:paraId="3440FFE7" w14:textId="77777777" w:rsidR="00B957A4" w:rsidRPr="00E037A6" w:rsidRDefault="00B957A4" w:rsidP="00A811DA">
      <w:pPr>
        <w:ind w:left="1425" w:hanging="1425"/>
      </w:pPr>
      <w:r w:rsidRPr="00E037A6">
        <w:t>225.535</w:t>
      </w:r>
      <w:r w:rsidRPr="00E037A6">
        <w:tab/>
        <w:t xml:space="preserve">Methodology for Calculating Ozone Season Allocations </w:t>
      </w:r>
    </w:p>
    <w:p w14:paraId="3CA60E18" w14:textId="77777777" w:rsidR="00B957A4" w:rsidRPr="00E037A6" w:rsidRDefault="00B957A4" w:rsidP="00A811DA">
      <w:pPr>
        <w:ind w:left="1425" w:hanging="1425"/>
      </w:pPr>
      <w:r w:rsidRPr="00E037A6">
        <w:t>225.540</w:t>
      </w:r>
      <w:r w:rsidRPr="00E037A6">
        <w:tab/>
        <w:t xml:space="preserve">Ozone Season Allocations </w:t>
      </w:r>
    </w:p>
    <w:p w14:paraId="49778C01" w14:textId="77777777" w:rsidR="00B957A4" w:rsidRPr="00E037A6" w:rsidRDefault="00B957A4" w:rsidP="00A811DA">
      <w:pPr>
        <w:ind w:left="1425" w:hanging="1425"/>
      </w:pPr>
      <w:r w:rsidRPr="00E037A6">
        <w:lastRenderedPageBreak/>
        <w:t>225.545</w:t>
      </w:r>
      <w:r w:rsidRPr="00E037A6">
        <w:tab/>
        <w:t>New Unit Set-Aside (NUSA)</w:t>
      </w:r>
    </w:p>
    <w:p w14:paraId="0A42E1AD" w14:textId="77777777" w:rsidR="00B957A4" w:rsidRPr="00E037A6" w:rsidRDefault="00B957A4" w:rsidP="00A811DA">
      <w:pPr>
        <w:ind w:left="1425" w:hanging="1425"/>
      </w:pPr>
      <w:r w:rsidRPr="00E037A6">
        <w:t>225.550</w:t>
      </w:r>
      <w:r w:rsidRPr="00E037A6">
        <w:tab/>
        <w:t xml:space="preserve">Monitoring, Recordkeeping and Reporting </w:t>
      </w:r>
      <w:r w:rsidR="00376541">
        <w:t xml:space="preserve">Requirements </w:t>
      </w:r>
      <w:r w:rsidRPr="00E037A6">
        <w:t>for Gross Electrical Output and Useful Thermal Energy</w:t>
      </w:r>
    </w:p>
    <w:p w14:paraId="42D85F1F" w14:textId="77777777" w:rsidR="00B957A4" w:rsidRPr="00E037A6" w:rsidRDefault="00B957A4" w:rsidP="00A811DA">
      <w:pPr>
        <w:ind w:left="1425" w:hanging="1425"/>
      </w:pPr>
      <w:r w:rsidRPr="00E037A6">
        <w:t>225.555</w:t>
      </w:r>
      <w:r w:rsidRPr="00E037A6">
        <w:tab/>
        <w:t>Clean Air Set-Aside (CASA)</w:t>
      </w:r>
    </w:p>
    <w:p w14:paraId="01C607B9" w14:textId="77777777" w:rsidR="00B957A4" w:rsidRPr="00E037A6" w:rsidRDefault="00B957A4" w:rsidP="00A811DA">
      <w:pPr>
        <w:ind w:left="1425" w:hanging="1425"/>
      </w:pPr>
      <w:r w:rsidRPr="00E037A6">
        <w:t>225.560</w:t>
      </w:r>
      <w:r w:rsidRPr="00E037A6">
        <w:tab/>
        <w:t>Energy Efficiency</w:t>
      </w:r>
      <w:r w:rsidR="00376541">
        <w:t xml:space="preserve"> and Conservation</w:t>
      </w:r>
      <w:r w:rsidRPr="00E037A6">
        <w:t>, Renewable Energy, and Clean Technology Projects</w:t>
      </w:r>
    </w:p>
    <w:p w14:paraId="2523076B" w14:textId="77777777" w:rsidR="00B957A4" w:rsidRPr="00E037A6" w:rsidRDefault="00B957A4" w:rsidP="00A811DA">
      <w:pPr>
        <w:ind w:left="1425" w:hanging="1425"/>
      </w:pPr>
      <w:r w:rsidRPr="00E037A6">
        <w:t>225.565</w:t>
      </w:r>
      <w:r w:rsidRPr="00E037A6">
        <w:tab/>
        <w:t>Clean Air Set-Aside (CASA) Allowances</w:t>
      </w:r>
    </w:p>
    <w:p w14:paraId="4BE06B17" w14:textId="77777777" w:rsidR="00B957A4" w:rsidRPr="00E037A6" w:rsidRDefault="00B957A4" w:rsidP="00A811DA">
      <w:pPr>
        <w:ind w:left="1425" w:hanging="1425"/>
      </w:pPr>
      <w:r w:rsidRPr="00E037A6">
        <w:t>225.570</w:t>
      </w:r>
      <w:r w:rsidRPr="00E037A6">
        <w:tab/>
        <w:t>Clean Air Set-Aside (CASA) Applications</w:t>
      </w:r>
    </w:p>
    <w:p w14:paraId="7B792C51" w14:textId="77777777" w:rsidR="00B957A4" w:rsidRDefault="00B957A4" w:rsidP="00A811DA">
      <w:pPr>
        <w:ind w:left="1425" w:hanging="1425"/>
      </w:pPr>
      <w:r w:rsidRPr="00E037A6">
        <w:t>225.575</w:t>
      </w:r>
      <w:r w:rsidRPr="00E037A6">
        <w:tab/>
        <w:t>Agency Action on Clean Air Set-Aside (CASA) Applications</w:t>
      </w:r>
    </w:p>
    <w:p w14:paraId="72A60CE5" w14:textId="77777777" w:rsidR="00376541" w:rsidRPr="00573EE5" w:rsidRDefault="00376541" w:rsidP="00573EE5"/>
    <w:p w14:paraId="67499590" w14:textId="77777777" w:rsidR="00B957A4" w:rsidRPr="00573EE5" w:rsidRDefault="00B957A4" w:rsidP="00573EE5">
      <w:pPr>
        <w:jc w:val="center"/>
      </w:pPr>
      <w:r w:rsidRPr="00573EE5">
        <w:t>SUBPART F: COMBINED POLLUTANT STANDARDS</w:t>
      </w:r>
    </w:p>
    <w:p w14:paraId="0CFBB691" w14:textId="77777777" w:rsidR="00EA0B17" w:rsidRDefault="00EA0B17" w:rsidP="00573EE5"/>
    <w:p w14:paraId="2F9798D1" w14:textId="77777777" w:rsidR="00B957A4" w:rsidRPr="00573EE5" w:rsidRDefault="00B957A4" w:rsidP="00573EE5">
      <w:r w:rsidRPr="00573EE5">
        <w:t>225.600</w:t>
      </w:r>
      <w:r w:rsidRPr="00573EE5">
        <w:tab/>
        <w:t>Purpose</w:t>
      </w:r>
      <w:r w:rsidR="00295ADB">
        <w:t xml:space="preserve"> (Repealed)</w:t>
      </w:r>
    </w:p>
    <w:p w14:paraId="65CE4FFB" w14:textId="77777777" w:rsidR="00B957A4" w:rsidRPr="00E037A6" w:rsidRDefault="00B957A4" w:rsidP="00B957A4">
      <w:pPr>
        <w:autoSpaceDN w:val="0"/>
      </w:pPr>
      <w:r w:rsidRPr="00E037A6">
        <w:t>225.605</w:t>
      </w:r>
      <w:r w:rsidRPr="00E037A6">
        <w:tab/>
        <w:t>Applicability</w:t>
      </w:r>
      <w:r w:rsidR="00295ADB">
        <w:t xml:space="preserve"> (Repealed)</w:t>
      </w:r>
    </w:p>
    <w:p w14:paraId="36DF4A05" w14:textId="77777777" w:rsidR="00B957A4" w:rsidRPr="00E037A6" w:rsidRDefault="00B957A4" w:rsidP="00B957A4">
      <w:pPr>
        <w:autoSpaceDN w:val="0"/>
      </w:pPr>
      <w:r w:rsidRPr="00E037A6">
        <w:t>225.610</w:t>
      </w:r>
      <w:r>
        <w:tab/>
      </w:r>
      <w:r w:rsidRPr="00E037A6">
        <w:t>Notice of Intent</w:t>
      </w:r>
      <w:r w:rsidR="00295ADB">
        <w:t xml:space="preserve"> (Repealed)</w:t>
      </w:r>
    </w:p>
    <w:p w14:paraId="2F2762A1" w14:textId="77777777" w:rsidR="00B957A4" w:rsidRPr="00E037A6" w:rsidRDefault="00B957A4" w:rsidP="00295ADB">
      <w:pPr>
        <w:autoSpaceDN w:val="0"/>
        <w:ind w:left="1440" w:hanging="1440"/>
      </w:pPr>
      <w:r w:rsidRPr="00E037A6">
        <w:t>225.615</w:t>
      </w:r>
      <w:r w:rsidRPr="00E037A6">
        <w:tab/>
        <w:t xml:space="preserve">Control Technology Requirements and Emissions Standards for Mercury </w:t>
      </w:r>
      <w:r w:rsidR="00295ADB">
        <w:t>(Repealed)</w:t>
      </w:r>
    </w:p>
    <w:p w14:paraId="14FF98E7" w14:textId="77777777" w:rsidR="00B957A4" w:rsidRPr="00E037A6" w:rsidRDefault="00B957A4" w:rsidP="00B957A4">
      <w:pPr>
        <w:autoSpaceDN w:val="0"/>
        <w:ind w:left="1440" w:hanging="1440"/>
      </w:pPr>
      <w:r w:rsidRPr="00E037A6">
        <w:t>225.620</w:t>
      </w:r>
      <w:r w:rsidRPr="00E037A6">
        <w:tab/>
        <w:t>Emissions Standards for NO</w:t>
      </w:r>
      <w:r w:rsidRPr="00E037A6">
        <w:rPr>
          <w:vertAlign w:val="subscript"/>
        </w:rPr>
        <w:t>x</w:t>
      </w:r>
      <w:r w:rsidRPr="00E037A6">
        <w:t xml:space="preserve"> and </w:t>
      </w:r>
      <w:proofErr w:type="spellStart"/>
      <w:r w:rsidRPr="00E037A6">
        <w:t>SO</w:t>
      </w:r>
      <w:r w:rsidRPr="00E037A6">
        <w:rPr>
          <w:vertAlign w:val="subscript"/>
        </w:rPr>
        <w:t>2</w:t>
      </w:r>
      <w:proofErr w:type="spellEnd"/>
      <w:r w:rsidR="00295ADB">
        <w:rPr>
          <w:vertAlign w:val="subscript"/>
        </w:rPr>
        <w:t xml:space="preserve"> </w:t>
      </w:r>
      <w:r w:rsidR="00295ADB">
        <w:t>(Repealed)</w:t>
      </w:r>
    </w:p>
    <w:p w14:paraId="2C99844D" w14:textId="77777777" w:rsidR="00B957A4" w:rsidRPr="00E037A6" w:rsidRDefault="00B957A4" w:rsidP="00B957A4">
      <w:pPr>
        <w:autoSpaceDN w:val="0"/>
      </w:pPr>
      <w:r w:rsidRPr="00E037A6">
        <w:t>225.625</w:t>
      </w:r>
      <w:r w:rsidRPr="00E037A6">
        <w:tab/>
        <w:t>Control Technology Requirements for NO</w:t>
      </w:r>
      <w:r w:rsidRPr="00E037A6">
        <w:rPr>
          <w:vertAlign w:val="subscript"/>
        </w:rPr>
        <w:t>x</w:t>
      </w:r>
      <w:r w:rsidRPr="00E037A6">
        <w:t xml:space="preserve">, </w:t>
      </w:r>
      <w:proofErr w:type="spellStart"/>
      <w:r w:rsidRPr="00E037A6">
        <w:t>SO</w:t>
      </w:r>
      <w:r w:rsidRPr="00E037A6">
        <w:rPr>
          <w:vertAlign w:val="subscript"/>
        </w:rPr>
        <w:t>2</w:t>
      </w:r>
      <w:proofErr w:type="spellEnd"/>
      <w:r w:rsidRPr="00E037A6">
        <w:t>, and PM Emissions</w:t>
      </w:r>
      <w:r w:rsidR="00295ADB">
        <w:t xml:space="preserve"> (Repealed)</w:t>
      </w:r>
    </w:p>
    <w:p w14:paraId="18754229" w14:textId="77777777" w:rsidR="00B957A4" w:rsidRPr="00E037A6" w:rsidRDefault="00B957A4" w:rsidP="00B957A4">
      <w:pPr>
        <w:autoSpaceDN w:val="0"/>
      </w:pPr>
      <w:r w:rsidRPr="00E037A6">
        <w:t>225.630</w:t>
      </w:r>
      <w:r w:rsidRPr="00E037A6">
        <w:tab/>
        <w:t xml:space="preserve">Permanent </w:t>
      </w:r>
      <w:r w:rsidR="007737E9">
        <w:t>Shut Downs</w:t>
      </w:r>
      <w:r w:rsidR="00295ADB">
        <w:t xml:space="preserve"> (Repealed)</w:t>
      </w:r>
    </w:p>
    <w:p w14:paraId="6577DD9C" w14:textId="77777777" w:rsidR="00B957A4" w:rsidRPr="00E037A6" w:rsidRDefault="00B957A4" w:rsidP="00B957A4">
      <w:pPr>
        <w:autoSpaceDN w:val="0"/>
        <w:ind w:left="1440" w:hanging="1440"/>
      </w:pPr>
      <w:r w:rsidRPr="00E037A6">
        <w:t>225.635</w:t>
      </w:r>
      <w:r w:rsidRPr="00E037A6">
        <w:tab/>
        <w:t xml:space="preserve">Requirements for CAIR </w:t>
      </w:r>
      <w:proofErr w:type="spellStart"/>
      <w:r w:rsidRPr="00E037A6">
        <w:t>SO</w:t>
      </w:r>
      <w:r w:rsidRPr="00E037A6">
        <w:rPr>
          <w:vertAlign w:val="subscript"/>
        </w:rPr>
        <w:t>2</w:t>
      </w:r>
      <w:proofErr w:type="spellEnd"/>
      <w:r w:rsidRPr="00E037A6">
        <w:t>, CAIR NO</w:t>
      </w:r>
      <w:r w:rsidRPr="00E037A6">
        <w:rPr>
          <w:vertAlign w:val="subscript"/>
        </w:rPr>
        <w:t>x</w:t>
      </w:r>
      <w:r w:rsidRPr="00E037A6">
        <w:t>, and CAIR NO</w:t>
      </w:r>
      <w:r w:rsidRPr="00E037A6">
        <w:rPr>
          <w:vertAlign w:val="subscript"/>
        </w:rPr>
        <w:t>x</w:t>
      </w:r>
      <w:r w:rsidRPr="00E037A6">
        <w:t xml:space="preserve"> Ozone Season Allowances</w:t>
      </w:r>
      <w:r w:rsidR="00295ADB">
        <w:t xml:space="preserve"> (Repealed)</w:t>
      </w:r>
    </w:p>
    <w:p w14:paraId="427D84C9" w14:textId="77777777" w:rsidR="00B957A4" w:rsidRPr="00E037A6" w:rsidRDefault="00B957A4" w:rsidP="00B957A4">
      <w:pPr>
        <w:autoSpaceDN w:val="0"/>
      </w:pPr>
      <w:r w:rsidRPr="00E037A6">
        <w:t>225.640</w:t>
      </w:r>
      <w:r w:rsidRPr="00E037A6">
        <w:tab/>
        <w:t>Clean Air Act Requirements</w:t>
      </w:r>
      <w:r w:rsidR="00295ADB">
        <w:t xml:space="preserve"> (Repealed)</w:t>
      </w:r>
      <w:r w:rsidRPr="00E037A6">
        <w:t xml:space="preserve"> </w:t>
      </w:r>
    </w:p>
    <w:p w14:paraId="645BE810" w14:textId="77777777" w:rsidR="00B957A4" w:rsidRPr="00E037A6" w:rsidRDefault="00B957A4" w:rsidP="00B957A4">
      <w:pPr>
        <w:autoSpaceDN w:val="0"/>
        <w:ind w:left="2160" w:hanging="2160"/>
      </w:pPr>
    </w:p>
    <w:p w14:paraId="34E28DDF" w14:textId="77777777" w:rsidR="00B957A4" w:rsidRDefault="00B957A4" w:rsidP="00573EE5">
      <w:pPr>
        <w:autoSpaceDN w:val="0"/>
        <w:ind w:left="2160" w:hanging="2160"/>
      </w:pPr>
      <w:proofErr w:type="spellStart"/>
      <w:r w:rsidRPr="00E037A6">
        <w:t>225.</w:t>
      </w:r>
      <w:r w:rsidR="00573EE5">
        <w:t>APPENDIX</w:t>
      </w:r>
      <w:proofErr w:type="spellEnd"/>
      <w:r w:rsidRPr="00E037A6">
        <w:t xml:space="preserve"> A</w:t>
      </w:r>
      <w:r w:rsidRPr="00E037A6">
        <w:tab/>
        <w:t xml:space="preserve">Specified </w:t>
      </w:r>
      <w:proofErr w:type="spellStart"/>
      <w:r w:rsidRPr="00E037A6">
        <w:t>EGUs</w:t>
      </w:r>
      <w:proofErr w:type="spellEnd"/>
      <w:r w:rsidRPr="00E037A6">
        <w:t xml:space="preserve"> for Purposes of </w:t>
      </w:r>
      <w:r w:rsidR="00295ADB">
        <w:t>the CPS</w:t>
      </w:r>
      <w:r w:rsidRPr="00E037A6">
        <w:t xml:space="preserve"> </w:t>
      </w:r>
      <w:r w:rsidR="00445E82">
        <w:t>(</w:t>
      </w:r>
      <w:r w:rsidRPr="00E037A6">
        <w:t xml:space="preserve">Coal-Fired Boilers as of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06"/>
        </w:smartTagPr>
        <w:r w:rsidRPr="00E037A6">
          <w:t>July 1, 2006</w:t>
        </w:r>
      </w:smartTag>
      <w:r w:rsidRPr="00E037A6">
        <w:t>)</w:t>
      </w:r>
    </w:p>
    <w:p w14:paraId="7269789A" w14:textId="77777777" w:rsidR="00295ADB" w:rsidRDefault="00295ADB" w:rsidP="00573EE5">
      <w:pPr>
        <w:autoSpaceDN w:val="0"/>
        <w:ind w:left="2160" w:hanging="2160"/>
      </w:pPr>
      <w:proofErr w:type="spellStart"/>
      <w:r>
        <w:t>225.APPENDIX</w:t>
      </w:r>
      <w:proofErr w:type="spellEnd"/>
      <w:r>
        <w:t xml:space="preserve"> B</w:t>
      </w:r>
      <w:r>
        <w:tab/>
        <w:t>Continuous Emission Monitoring Systems for Mercury</w:t>
      </w:r>
    </w:p>
    <w:p w14:paraId="5344AEEB" w14:textId="77777777" w:rsidR="008F6DD6" w:rsidRPr="008F6DD6" w:rsidRDefault="008F6DD6" w:rsidP="008F6DD6">
      <w:pPr>
        <w:widowControl w:val="0"/>
        <w:ind w:left="720"/>
      </w:pPr>
      <w:proofErr w:type="spellStart"/>
      <w:r w:rsidRPr="008F6DD6">
        <w:t>225.EXHIBIT</w:t>
      </w:r>
      <w:proofErr w:type="spellEnd"/>
      <w:r w:rsidRPr="008F6DD6">
        <w:t xml:space="preserve"> A</w:t>
      </w:r>
      <w:r>
        <w:tab/>
      </w:r>
      <w:r w:rsidRPr="008F6DD6">
        <w:t>Specifications and Test Procedures</w:t>
      </w:r>
    </w:p>
    <w:p w14:paraId="0CF75AB2" w14:textId="77777777" w:rsidR="008F6DD6" w:rsidRPr="008F6DD6" w:rsidRDefault="008F6DD6" w:rsidP="008F6DD6">
      <w:pPr>
        <w:widowControl w:val="0"/>
        <w:ind w:left="720"/>
      </w:pPr>
      <w:proofErr w:type="spellStart"/>
      <w:r w:rsidRPr="008F6DD6">
        <w:t>225.EXHIBIT</w:t>
      </w:r>
      <w:proofErr w:type="spellEnd"/>
      <w:r w:rsidRPr="008F6DD6">
        <w:t xml:space="preserve"> B</w:t>
      </w:r>
      <w:r>
        <w:tab/>
      </w:r>
      <w:r w:rsidRPr="008F6DD6">
        <w:t>Quality Assurance and Quality Control Procedures</w:t>
      </w:r>
    </w:p>
    <w:p w14:paraId="085F12AB" w14:textId="77777777" w:rsidR="008F6DD6" w:rsidRPr="008F6DD6" w:rsidRDefault="008F6DD6" w:rsidP="008F6DD6">
      <w:pPr>
        <w:widowControl w:val="0"/>
        <w:ind w:left="720"/>
      </w:pPr>
      <w:proofErr w:type="spellStart"/>
      <w:r w:rsidRPr="008F6DD6">
        <w:t>225.EXHIBIT</w:t>
      </w:r>
      <w:proofErr w:type="spellEnd"/>
      <w:r w:rsidRPr="008F6DD6">
        <w:t xml:space="preserve"> C</w:t>
      </w:r>
      <w:r>
        <w:tab/>
      </w:r>
      <w:r w:rsidRPr="008F6DD6">
        <w:t>Conversion Procedures</w:t>
      </w:r>
    </w:p>
    <w:p w14:paraId="425BDFD8" w14:textId="77777777" w:rsidR="008F6DD6" w:rsidRPr="00A77702" w:rsidRDefault="008F6DD6" w:rsidP="008F6DD6">
      <w:pPr>
        <w:autoSpaceDN w:val="0"/>
        <w:ind w:left="2880" w:hanging="2160"/>
      </w:pPr>
      <w:proofErr w:type="spellStart"/>
      <w:r w:rsidRPr="008F6DD6">
        <w:t>225</w:t>
      </w:r>
      <w:r w:rsidR="00445E82">
        <w:t>.</w:t>
      </w:r>
      <w:r w:rsidRPr="008F6DD6">
        <w:t>EXHIBIT</w:t>
      </w:r>
      <w:proofErr w:type="spellEnd"/>
      <w:r w:rsidR="00347C8F">
        <w:t xml:space="preserve"> </w:t>
      </w:r>
      <w:r w:rsidRPr="008F6DD6">
        <w:t>D</w:t>
      </w:r>
      <w:r>
        <w:tab/>
      </w:r>
      <w:r w:rsidRPr="008F6DD6">
        <w:t>Quality Assurance and Operating Procedures for Sorbent Trap Monitoring Systems</w:t>
      </w:r>
    </w:p>
    <w:sectPr w:rsidR="008F6DD6" w:rsidRPr="00A7770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5A58" w14:textId="77777777" w:rsidR="009D19CA" w:rsidRDefault="009D19CA">
      <w:r>
        <w:separator/>
      </w:r>
    </w:p>
  </w:endnote>
  <w:endnote w:type="continuationSeparator" w:id="0">
    <w:p w14:paraId="5D68E3EE" w14:textId="77777777" w:rsidR="009D19CA" w:rsidRDefault="009D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445F" w14:textId="77777777" w:rsidR="009D19CA" w:rsidRDefault="009D19CA">
      <w:r>
        <w:separator/>
      </w:r>
    </w:p>
  </w:footnote>
  <w:footnote w:type="continuationSeparator" w:id="0">
    <w:p w14:paraId="1B247DAD" w14:textId="77777777" w:rsidR="009D19CA" w:rsidRDefault="009D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7DB2"/>
    <w:rsid w:val="000D225F"/>
    <w:rsid w:val="00136B47"/>
    <w:rsid w:val="00150267"/>
    <w:rsid w:val="00164B43"/>
    <w:rsid w:val="00192F7F"/>
    <w:rsid w:val="001C2EA3"/>
    <w:rsid w:val="001C5294"/>
    <w:rsid w:val="001C7D95"/>
    <w:rsid w:val="001E3074"/>
    <w:rsid w:val="00201024"/>
    <w:rsid w:val="00225354"/>
    <w:rsid w:val="0024223F"/>
    <w:rsid w:val="002524EC"/>
    <w:rsid w:val="00295ADB"/>
    <w:rsid w:val="002A643F"/>
    <w:rsid w:val="00321E5F"/>
    <w:rsid w:val="00337CEB"/>
    <w:rsid w:val="00347C8F"/>
    <w:rsid w:val="00363BF8"/>
    <w:rsid w:val="00367A2E"/>
    <w:rsid w:val="00376541"/>
    <w:rsid w:val="003A0B53"/>
    <w:rsid w:val="003B4C40"/>
    <w:rsid w:val="003F3A28"/>
    <w:rsid w:val="003F5FD7"/>
    <w:rsid w:val="004101F6"/>
    <w:rsid w:val="00431CFE"/>
    <w:rsid w:val="00445E82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3B87"/>
    <w:rsid w:val="00573EE5"/>
    <w:rsid w:val="005F4571"/>
    <w:rsid w:val="006427F6"/>
    <w:rsid w:val="006527A8"/>
    <w:rsid w:val="006650F8"/>
    <w:rsid w:val="006A2114"/>
    <w:rsid w:val="006D522C"/>
    <w:rsid w:val="006D5961"/>
    <w:rsid w:val="00760511"/>
    <w:rsid w:val="007737E9"/>
    <w:rsid w:val="00780733"/>
    <w:rsid w:val="007A35AE"/>
    <w:rsid w:val="007C14B2"/>
    <w:rsid w:val="00801D20"/>
    <w:rsid w:val="00807BB5"/>
    <w:rsid w:val="00825C45"/>
    <w:rsid w:val="008271B1"/>
    <w:rsid w:val="00837F88"/>
    <w:rsid w:val="008450E6"/>
    <w:rsid w:val="0084781C"/>
    <w:rsid w:val="00850913"/>
    <w:rsid w:val="00870526"/>
    <w:rsid w:val="008B4361"/>
    <w:rsid w:val="008D123F"/>
    <w:rsid w:val="008D4EA0"/>
    <w:rsid w:val="008F6DD6"/>
    <w:rsid w:val="00935A8C"/>
    <w:rsid w:val="0096768C"/>
    <w:rsid w:val="009710A0"/>
    <w:rsid w:val="0098276C"/>
    <w:rsid w:val="009C4011"/>
    <w:rsid w:val="009C4FD4"/>
    <w:rsid w:val="009D19CA"/>
    <w:rsid w:val="009F5FE9"/>
    <w:rsid w:val="00A174BB"/>
    <w:rsid w:val="00A2265D"/>
    <w:rsid w:val="00A3657E"/>
    <w:rsid w:val="00A414BC"/>
    <w:rsid w:val="00A600AA"/>
    <w:rsid w:val="00A62F7E"/>
    <w:rsid w:val="00A77702"/>
    <w:rsid w:val="00A811DA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63C3"/>
    <w:rsid w:val="00B876EC"/>
    <w:rsid w:val="00B957A4"/>
    <w:rsid w:val="00BD6F66"/>
    <w:rsid w:val="00BF5EF1"/>
    <w:rsid w:val="00C4537A"/>
    <w:rsid w:val="00CC13F9"/>
    <w:rsid w:val="00CD3723"/>
    <w:rsid w:val="00D00CCA"/>
    <w:rsid w:val="00D0431C"/>
    <w:rsid w:val="00D52240"/>
    <w:rsid w:val="00D55B37"/>
    <w:rsid w:val="00D62188"/>
    <w:rsid w:val="00D735B8"/>
    <w:rsid w:val="00D93C67"/>
    <w:rsid w:val="00E7288E"/>
    <w:rsid w:val="00E95503"/>
    <w:rsid w:val="00EA0B17"/>
    <w:rsid w:val="00EB424E"/>
    <w:rsid w:val="00F1556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F71C33D"/>
  <w15:docId w15:val="{205C5DF0-E3C0-4E8F-ABA5-F0C0195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957A4"/>
    <w:pPr>
      <w:keepNext/>
      <w:jc w:val="center"/>
      <w:outlineLvl w:val="3"/>
    </w:pPr>
    <w:rPr>
      <w:b/>
      <w:bCs/>
      <w:strike/>
      <w:u w:val="single"/>
    </w:rPr>
  </w:style>
  <w:style w:type="paragraph" w:styleId="Heading5">
    <w:name w:val="heading 5"/>
    <w:basedOn w:val="Normal"/>
    <w:next w:val="Normal"/>
    <w:qFormat/>
    <w:rsid w:val="00B957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Revision">
    <w:name w:val="Revision"/>
    <w:hidden/>
    <w:uiPriority w:val="99"/>
    <w:semiHidden/>
    <w:rsid w:val="008D123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D1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1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2019-08-28T20:17:00Z</dcterms:created>
  <dcterms:modified xsi:type="dcterms:W3CDTF">2025-01-13T19:23:00Z</dcterms:modified>
</cp:coreProperties>
</file>