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7DF" w:rsidRDefault="008B37DF" w:rsidP="008B37DF">
      <w:pPr>
        <w:widowControl w:val="0"/>
        <w:autoSpaceDE w:val="0"/>
        <w:autoSpaceDN w:val="0"/>
        <w:adjustRightInd w:val="0"/>
      </w:pPr>
      <w:bookmarkStart w:id="0" w:name="_GoBack"/>
      <w:bookmarkEnd w:id="0"/>
    </w:p>
    <w:p w:rsidR="008B37DF" w:rsidRDefault="008B37DF" w:rsidP="008B37DF">
      <w:pPr>
        <w:widowControl w:val="0"/>
        <w:autoSpaceDE w:val="0"/>
        <w:autoSpaceDN w:val="0"/>
        <w:adjustRightInd w:val="0"/>
      </w:pPr>
      <w:r>
        <w:rPr>
          <w:b/>
          <w:bCs/>
        </w:rPr>
        <w:t>Section 220.290  Recordkeeping Requirements</w:t>
      </w:r>
      <w:r>
        <w:t xml:space="preserve"> </w:t>
      </w:r>
    </w:p>
    <w:p w:rsidR="008B37DF" w:rsidRDefault="008B37DF" w:rsidP="008B37DF">
      <w:pPr>
        <w:widowControl w:val="0"/>
        <w:autoSpaceDE w:val="0"/>
        <w:autoSpaceDN w:val="0"/>
        <w:adjustRightInd w:val="0"/>
      </w:pPr>
    </w:p>
    <w:p w:rsidR="008B37DF" w:rsidRDefault="008B37DF" w:rsidP="008B37DF">
      <w:pPr>
        <w:widowControl w:val="0"/>
        <w:autoSpaceDE w:val="0"/>
        <w:autoSpaceDN w:val="0"/>
        <w:adjustRightInd w:val="0"/>
      </w:pPr>
      <w:r>
        <w:t xml:space="preserve">Each owner or operator of an MSW landfill shall keep for at least 5 years, unless another time period is specified in this Section, up-to-date, readily accessible, on-site records of the following: </w:t>
      </w:r>
    </w:p>
    <w:p w:rsidR="00F307D1" w:rsidRDefault="00F307D1" w:rsidP="008B37DF">
      <w:pPr>
        <w:widowControl w:val="0"/>
        <w:autoSpaceDE w:val="0"/>
        <w:autoSpaceDN w:val="0"/>
        <w:adjustRightInd w:val="0"/>
      </w:pPr>
    </w:p>
    <w:p w:rsidR="008B37DF" w:rsidRDefault="008B37DF" w:rsidP="008B37DF">
      <w:pPr>
        <w:widowControl w:val="0"/>
        <w:autoSpaceDE w:val="0"/>
        <w:autoSpaceDN w:val="0"/>
        <w:adjustRightInd w:val="0"/>
        <w:ind w:left="1440" w:hanging="720"/>
      </w:pPr>
      <w:r>
        <w:t>a)</w:t>
      </w:r>
      <w:r>
        <w:tab/>
        <w:t>For the life of the landfill, the design capacity report in which the landfill became equal to or greater than 2</w:t>
      </w:r>
      <w:r w:rsidR="00EF3E3C">
        <w:t>.5 million Mg and 2.5 million m</w:t>
      </w:r>
      <w:r w:rsidRPr="00EF3E3C">
        <w:rPr>
          <w:vertAlign w:val="superscript"/>
        </w:rPr>
        <w:t>3</w:t>
      </w:r>
      <w:r>
        <w:t xml:space="preserve">, the current amount of solid waste in-place, and the year-by-year waste acceptance rate.  Off-site records may be maintained if they are retrievable within 4 hours.  Either paper copy or electronic formats are acceptable. </w:t>
      </w:r>
    </w:p>
    <w:p w:rsidR="00F307D1" w:rsidRDefault="00F307D1" w:rsidP="008B37DF">
      <w:pPr>
        <w:widowControl w:val="0"/>
        <w:autoSpaceDE w:val="0"/>
        <w:autoSpaceDN w:val="0"/>
        <w:adjustRightInd w:val="0"/>
        <w:ind w:left="1440" w:hanging="720"/>
      </w:pPr>
    </w:p>
    <w:p w:rsidR="008B37DF" w:rsidRDefault="008B37DF" w:rsidP="008B37DF">
      <w:pPr>
        <w:widowControl w:val="0"/>
        <w:autoSpaceDE w:val="0"/>
        <w:autoSpaceDN w:val="0"/>
        <w:adjustRightInd w:val="0"/>
        <w:ind w:left="1440" w:hanging="720"/>
      </w:pPr>
      <w:r>
        <w:t>b)</w:t>
      </w:r>
      <w:r>
        <w:tab/>
        <w:t xml:space="preserve">For the life of the control equipment, the data listed in subsections (b)(1) through (b)(4) of this Section as measured during the initial performance test or compliance determination. Records of the control device vendor specifications shall be maintained until removal. </w:t>
      </w:r>
    </w:p>
    <w:p w:rsidR="00F307D1" w:rsidRDefault="00F307D1" w:rsidP="008B37DF">
      <w:pPr>
        <w:widowControl w:val="0"/>
        <w:autoSpaceDE w:val="0"/>
        <w:autoSpaceDN w:val="0"/>
        <w:adjustRightInd w:val="0"/>
        <w:ind w:left="2160" w:hanging="720"/>
      </w:pPr>
    </w:p>
    <w:p w:rsidR="008B37DF" w:rsidRDefault="008B37DF" w:rsidP="008B37DF">
      <w:pPr>
        <w:widowControl w:val="0"/>
        <w:autoSpaceDE w:val="0"/>
        <w:autoSpaceDN w:val="0"/>
        <w:adjustRightInd w:val="0"/>
        <w:ind w:left="2160" w:hanging="720"/>
      </w:pPr>
      <w:r>
        <w:t>1)</w:t>
      </w:r>
      <w:r>
        <w:tab/>
        <w:t xml:space="preserve">Active collection systems: </w:t>
      </w:r>
    </w:p>
    <w:p w:rsidR="00F307D1" w:rsidRDefault="00F307D1" w:rsidP="008B37DF">
      <w:pPr>
        <w:widowControl w:val="0"/>
        <w:autoSpaceDE w:val="0"/>
        <w:autoSpaceDN w:val="0"/>
        <w:adjustRightInd w:val="0"/>
        <w:ind w:left="2880" w:hanging="720"/>
      </w:pPr>
    </w:p>
    <w:p w:rsidR="008B37DF" w:rsidRDefault="008B37DF" w:rsidP="008B37DF">
      <w:pPr>
        <w:widowControl w:val="0"/>
        <w:autoSpaceDE w:val="0"/>
        <w:autoSpaceDN w:val="0"/>
        <w:adjustRightInd w:val="0"/>
        <w:ind w:left="2880" w:hanging="720"/>
      </w:pPr>
      <w:r>
        <w:t>A)</w:t>
      </w:r>
      <w:r>
        <w:tab/>
        <w:t xml:space="preserve">The maximum expected gas generation flow rate as calculated in Section 220.240(a) of this Subpart.  The owner or operator may use another method to determine the maximum gas generation flow rate, if the method has been approved by the Agency. </w:t>
      </w:r>
    </w:p>
    <w:p w:rsidR="00F307D1" w:rsidRDefault="00F307D1" w:rsidP="008B37DF">
      <w:pPr>
        <w:widowControl w:val="0"/>
        <w:autoSpaceDE w:val="0"/>
        <w:autoSpaceDN w:val="0"/>
        <w:adjustRightInd w:val="0"/>
        <w:ind w:left="2880" w:hanging="720"/>
      </w:pPr>
    </w:p>
    <w:p w:rsidR="008B37DF" w:rsidRDefault="008B37DF" w:rsidP="008B37DF">
      <w:pPr>
        <w:widowControl w:val="0"/>
        <w:autoSpaceDE w:val="0"/>
        <w:autoSpaceDN w:val="0"/>
        <w:adjustRightInd w:val="0"/>
        <w:ind w:left="2880" w:hanging="720"/>
      </w:pPr>
      <w:r>
        <w:t>B)</w:t>
      </w:r>
      <w:r>
        <w:tab/>
        <w:t xml:space="preserve">The density of wells, horizontal collectors, surface collectors, or other gas extraction devices determined using the procedures specified in Section 220.220(b)(1)(A) of this Subpart. </w:t>
      </w:r>
    </w:p>
    <w:p w:rsidR="00F307D1" w:rsidRDefault="00F307D1" w:rsidP="008B37DF">
      <w:pPr>
        <w:widowControl w:val="0"/>
        <w:autoSpaceDE w:val="0"/>
        <w:autoSpaceDN w:val="0"/>
        <w:adjustRightInd w:val="0"/>
        <w:ind w:left="2160" w:hanging="720"/>
      </w:pPr>
    </w:p>
    <w:p w:rsidR="008B37DF" w:rsidRDefault="008B37DF" w:rsidP="008B37DF">
      <w:pPr>
        <w:widowControl w:val="0"/>
        <w:autoSpaceDE w:val="0"/>
        <w:autoSpaceDN w:val="0"/>
        <w:adjustRightInd w:val="0"/>
        <w:ind w:left="2160" w:hanging="720"/>
      </w:pPr>
      <w:r>
        <w:t>2)</w:t>
      </w:r>
      <w:r>
        <w:tab/>
        <w:t xml:space="preserve">Enclosed combustion device other than a boiler or process heater with a design heat input capacity greater 44 MW: </w:t>
      </w:r>
    </w:p>
    <w:p w:rsidR="00F307D1" w:rsidRDefault="00F307D1" w:rsidP="008B37DF">
      <w:pPr>
        <w:widowControl w:val="0"/>
        <w:autoSpaceDE w:val="0"/>
        <w:autoSpaceDN w:val="0"/>
        <w:adjustRightInd w:val="0"/>
        <w:ind w:left="2880" w:hanging="720"/>
      </w:pPr>
    </w:p>
    <w:p w:rsidR="008B37DF" w:rsidRDefault="008B37DF" w:rsidP="008B37DF">
      <w:pPr>
        <w:widowControl w:val="0"/>
        <w:autoSpaceDE w:val="0"/>
        <w:autoSpaceDN w:val="0"/>
        <w:adjustRightInd w:val="0"/>
        <w:ind w:left="2880" w:hanging="720"/>
      </w:pPr>
      <w:r>
        <w:t>A)</w:t>
      </w:r>
      <w:r>
        <w:tab/>
        <w:t xml:space="preserve">The combustion temperature measured at least every 15 minutes and averaged over the same time period as the performance test. </w:t>
      </w:r>
    </w:p>
    <w:p w:rsidR="00F307D1" w:rsidRDefault="00F307D1" w:rsidP="008B37DF">
      <w:pPr>
        <w:widowControl w:val="0"/>
        <w:autoSpaceDE w:val="0"/>
        <w:autoSpaceDN w:val="0"/>
        <w:adjustRightInd w:val="0"/>
        <w:ind w:left="2880" w:hanging="720"/>
      </w:pPr>
    </w:p>
    <w:p w:rsidR="008B37DF" w:rsidRDefault="008B37DF" w:rsidP="008B37DF">
      <w:pPr>
        <w:widowControl w:val="0"/>
        <w:autoSpaceDE w:val="0"/>
        <w:autoSpaceDN w:val="0"/>
        <w:adjustRightInd w:val="0"/>
        <w:ind w:left="2880" w:hanging="720"/>
      </w:pPr>
      <w:r>
        <w:t>B)</w:t>
      </w:r>
      <w:r>
        <w:tab/>
        <w:t xml:space="preserve">The percent reduction of NMOC determined as specified in Section 220.230(b) of this Subpart achieved by the control device. </w:t>
      </w:r>
    </w:p>
    <w:p w:rsidR="00F307D1" w:rsidRDefault="00F307D1" w:rsidP="008B37DF">
      <w:pPr>
        <w:widowControl w:val="0"/>
        <w:autoSpaceDE w:val="0"/>
        <w:autoSpaceDN w:val="0"/>
        <w:adjustRightInd w:val="0"/>
        <w:ind w:left="2160" w:hanging="720"/>
      </w:pPr>
    </w:p>
    <w:p w:rsidR="008B37DF" w:rsidRDefault="008B37DF" w:rsidP="008B37DF">
      <w:pPr>
        <w:widowControl w:val="0"/>
        <w:autoSpaceDE w:val="0"/>
        <w:autoSpaceDN w:val="0"/>
        <w:adjustRightInd w:val="0"/>
        <w:ind w:left="2160" w:hanging="720"/>
      </w:pPr>
      <w:r>
        <w:t>3)</w:t>
      </w:r>
      <w:r>
        <w:tab/>
        <w:t xml:space="preserve">Boilers or process heaters of any size: a description of the location at which the collected gas vent stream is introduced into the boiler or process heater over the same time period as the performance testing. </w:t>
      </w:r>
    </w:p>
    <w:p w:rsidR="00F307D1" w:rsidRDefault="00F307D1" w:rsidP="008B37DF">
      <w:pPr>
        <w:widowControl w:val="0"/>
        <w:autoSpaceDE w:val="0"/>
        <w:autoSpaceDN w:val="0"/>
        <w:adjustRightInd w:val="0"/>
        <w:ind w:left="2160" w:hanging="720"/>
      </w:pPr>
    </w:p>
    <w:p w:rsidR="008B37DF" w:rsidRDefault="008B37DF" w:rsidP="008B37DF">
      <w:pPr>
        <w:widowControl w:val="0"/>
        <w:autoSpaceDE w:val="0"/>
        <w:autoSpaceDN w:val="0"/>
        <w:adjustRightInd w:val="0"/>
        <w:ind w:left="2160" w:hanging="720"/>
      </w:pPr>
      <w:r>
        <w:t>4)</w:t>
      </w:r>
      <w:r>
        <w:tab/>
        <w:t xml:space="preserve">Open flare: the flare type (i.e., steam-assisted, air-assisted, or </w:t>
      </w:r>
      <w:proofErr w:type="spellStart"/>
      <w:r>
        <w:t>nonassisted</w:t>
      </w:r>
      <w:proofErr w:type="spellEnd"/>
      <w:r>
        <w:t xml:space="preserve">), all visible emission readings, heat content determination, flow rate or bypass flow rate measurements, and exit velocity determinations made during the performance test as specified in 40 CFR 60.18, incorporated by reference in Section 220.130 of this Part; continuous records of the flare pilot flame or flare flame monitoring and records of all periods of operations during which the flare pilot flame or the flare flame is absent. </w:t>
      </w:r>
    </w:p>
    <w:p w:rsidR="00F307D1" w:rsidRDefault="00F307D1" w:rsidP="008B37DF">
      <w:pPr>
        <w:widowControl w:val="0"/>
        <w:autoSpaceDE w:val="0"/>
        <w:autoSpaceDN w:val="0"/>
        <w:adjustRightInd w:val="0"/>
        <w:ind w:left="1440" w:hanging="720"/>
      </w:pPr>
    </w:p>
    <w:p w:rsidR="008B37DF" w:rsidRDefault="008B37DF" w:rsidP="008B37DF">
      <w:pPr>
        <w:widowControl w:val="0"/>
        <w:autoSpaceDE w:val="0"/>
        <w:autoSpaceDN w:val="0"/>
        <w:adjustRightInd w:val="0"/>
        <w:ind w:left="1440" w:hanging="720"/>
      </w:pPr>
      <w:r>
        <w:t>c)</w:t>
      </w:r>
      <w:r>
        <w:tab/>
        <w:t xml:space="preserve">Continuous records of the equipment operating parameters specified to be monitored in Section 220.270 of this Subpart as well as up-to-date, readily accessible records for periods of operation during which the parameter boundaries established during the most recent performance test are exceeded. </w:t>
      </w:r>
    </w:p>
    <w:p w:rsidR="00F307D1" w:rsidRDefault="00F307D1" w:rsidP="008B37DF">
      <w:pPr>
        <w:widowControl w:val="0"/>
        <w:autoSpaceDE w:val="0"/>
        <w:autoSpaceDN w:val="0"/>
        <w:adjustRightInd w:val="0"/>
        <w:ind w:left="2160" w:hanging="720"/>
      </w:pPr>
    </w:p>
    <w:p w:rsidR="008B37DF" w:rsidRDefault="008B37DF" w:rsidP="008B37DF">
      <w:pPr>
        <w:widowControl w:val="0"/>
        <w:autoSpaceDE w:val="0"/>
        <w:autoSpaceDN w:val="0"/>
        <w:adjustRightInd w:val="0"/>
        <w:ind w:left="2160" w:hanging="720"/>
      </w:pPr>
      <w:r>
        <w:t>1)</w:t>
      </w:r>
      <w:r>
        <w:tab/>
        <w:t xml:space="preserve">The following constitute </w:t>
      </w:r>
      <w:proofErr w:type="spellStart"/>
      <w:r>
        <w:t>exceedences</w:t>
      </w:r>
      <w:proofErr w:type="spellEnd"/>
      <w:r>
        <w:t xml:space="preserve"> that shall be recorded and reported under Section 220.280(e) of this Subpart: </w:t>
      </w:r>
    </w:p>
    <w:p w:rsidR="00F307D1" w:rsidRDefault="00F307D1" w:rsidP="008B37DF">
      <w:pPr>
        <w:widowControl w:val="0"/>
        <w:autoSpaceDE w:val="0"/>
        <w:autoSpaceDN w:val="0"/>
        <w:adjustRightInd w:val="0"/>
        <w:ind w:left="2880" w:hanging="720"/>
      </w:pPr>
    </w:p>
    <w:p w:rsidR="008B37DF" w:rsidRDefault="008B37DF" w:rsidP="008B37DF">
      <w:pPr>
        <w:widowControl w:val="0"/>
        <w:autoSpaceDE w:val="0"/>
        <w:autoSpaceDN w:val="0"/>
        <w:adjustRightInd w:val="0"/>
        <w:ind w:left="2880" w:hanging="720"/>
      </w:pPr>
      <w:r>
        <w:t>A)</w:t>
      </w:r>
      <w:r>
        <w:tab/>
        <w:t xml:space="preserve">For enclosed combustors, except for boilers and process heaters with design heat input of 44 MW (150 </w:t>
      </w:r>
      <w:proofErr w:type="spellStart"/>
      <w:r>
        <w:t>mmbtu</w:t>
      </w:r>
      <w:proofErr w:type="spellEnd"/>
      <w:r>
        <w:t>/hr) or greater, all 3-hour periods of operation during which the average combustion temperature was more than 28</w:t>
      </w:r>
      <w:r w:rsidR="00EF3E3C">
        <w:t>°</w:t>
      </w:r>
      <w:r>
        <w:t>C (82</w:t>
      </w:r>
      <w:r w:rsidR="00EF3E3C">
        <w:t>°</w:t>
      </w:r>
      <w:r>
        <w:t xml:space="preserve">F) below the average combustion temperature during the most recent performance test at which compliance with Section 220.230(b) of this Subpart was determined. </w:t>
      </w:r>
    </w:p>
    <w:p w:rsidR="00F307D1" w:rsidRDefault="00F307D1" w:rsidP="008B37DF">
      <w:pPr>
        <w:widowControl w:val="0"/>
        <w:autoSpaceDE w:val="0"/>
        <w:autoSpaceDN w:val="0"/>
        <w:adjustRightInd w:val="0"/>
        <w:ind w:left="2880" w:hanging="720"/>
      </w:pPr>
    </w:p>
    <w:p w:rsidR="008B37DF" w:rsidRDefault="008B37DF" w:rsidP="008B37DF">
      <w:pPr>
        <w:widowControl w:val="0"/>
        <w:autoSpaceDE w:val="0"/>
        <w:autoSpaceDN w:val="0"/>
        <w:adjustRightInd w:val="0"/>
        <w:ind w:left="2880" w:hanging="720"/>
      </w:pPr>
      <w:r>
        <w:t>B)</w:t>
      </w:r>
      <w:r>
        <w:tab/>
        <w:t xml:space="preserve">For boilers or process heaters, whenever there is a change in the location at which the vent stream is introduced into the flame zone, as required pursuant to subsection (b)(2)(A) of this Section. </w:t>
      </w:r>
    </w:p>
    <w:p w:rsidR="00F307D1" w:rsidRDefault="00F307D1" w:rsidP="008B37DF">
      <w:pPr>
        <w:widowControl w:val="0"/>
        <w:autoSpaceDE w:val="0"/>
        <w:autoSpaceDN w:val="0"/>
        <w:adjustRightInd w:val="0"/>
        <w:ind w:left="2160" w:hanging="720"/>
      </w:pPr>
    </w:p>
    <w:p w:rsidR="008B37DF" w:rsidRDefault="008B37DF" w:rsidP="008B37DF">
      <w:pPr>
        <w:widowControl w:val="0"/>
        <w:autoSpaceDE w:val="0"/>
        <w:autoSpaceDN w:val="0"/>
        <w:adjustRightInd w:val="0"/>
        <w:ind w:left="2160" w:hanging="720"/>
      </w:pPr>
      <w:r>
        <w:t>2)</w:t>
      </w:r>
      <w:r>
        <w:tab/>
        <w:t xml:space="preserve">Continuous records of the indication of flow to the control device or the indication of bypass flow or records of monthly inspections of car-seals or lock-and-key configurations used to seal bypass lines, specified pursuant to Section 220.270 of this Subpart. </w:t>
      </w:r>
    </w:p>
    <w:p w:rsidR="00F307D1" w:rsidRDefault="00F307D1" w:rsidP="008B37DF">
      <w:pPr>
        <w:widowControl w:val="0"/>
        <w:autoSpaceDE w:val="0"/>
        <w:autoSpaceDN w:val="0"/>
        <w:adjustRightInd w:val="0"/>
        <w:ind w:left="2160" w:hanging="720"/>
      </w:pPr>
    </w:p>
    <w:p w:rsidR="008B37DF" w:rsidRDefault="008B37DF" w:rsidP="008B37DF">
      <w:pPr>
        <w:widowControl w:val="0"/>
        <w:autoSpaceDE w:val="0"/>
        <w:autoSpaceDN w:val="0"/>
        <w:adjustRightInd w:val="0"/>
        <w:ind w:left="2160" w:hanging="720"/>
      </w:pPr>
      <w:r>
        <w:t>3)</w:t>
      </w:r>
      <w:r>
        <w:tab/>
        <w:t xml:space="preserve">For boilers or process heaters with a design heat input capacity of 44 MW or greater, records of all periods of operation of boiler or process heater. (Examples of such records include records of steam use, fuel use, or monitoring data collected pursuant to State, local, or federal regulatory requirements.) </w:t>
      </w:r>
    </w:p>
    <w:p w:rsidR="00F307D1" w:rsidRDefault="00F307D1" w:rsidP="008B37DF">
      <w:pPr>
        <w:widowControl w:val="0"/>
        <w:autoSpaceDE w:val="0"/>
        <w:autoSpaceDN w:val="0"/>
        <w:adjustRightInd w:val="0"/>
        <w:ind w:left="2160" w:hanging="720"/>
      </w:pPr>
    </w:p>
    <w:p w:rsidR="008B37DF" w:rsidRDefault="008B37DF" w:rsidP="008B37DF">
      <w:pPr>
        <w:widowControl w:val="0"/>
        <w:autoSpaceDE w:val="0"/>
        <w:autoSpaceDN w:val="0"/>
        <w:adjustRightInd w:val="0"/>
        <w:ind w:left="2160" w:hanging="720"/>
      </w:pPr>
      <w:r>
        <w:t>4)</w:t>
      </w:r>
      <w:r>
        <w:tab/>
        <w:t xml:space="preserve">For open flares, records of the flame or flare pilot flame monitoring specified under Section 220.270(c) of this Subpart, and all periods of operation in which the flare pilot flame or the flare flame is absent. </w:t>
      </w:r>
    </w:p>
    <w:p w:rsidR="00F307D1" w:rsidRDefault="00F307D1" w:rsidP="008B37DF">
      <w:pPr>
        <w:widowControl w:val="0"/>
        <w:autoSpaceDE w:val="0"/>
        <w:autoSpaceDN w:val="0"/>
        <w:adjustRightInd w:val="0"/>
        <w:ind w:left="1440" w:hanging="720"/>
      </w:pPr>
    </w:p>
    <w:p w:rsidR="008B37DF" w:rsidRDefault="008B37DF" w:rsidP="008B37DF">
      <w:pPr>
        <w:widowControl w:val="0"/>
        <w:autoSpaceDE w:val="0"/>
        <w:autoSpaceDN w:val="0"/>
        <w:adjustRightInd w:val="0"/>
        <w:ind w:left="1440" w:hanging="720"/>
      </w:pPr>
      <w:r>
        <w:t>d)</w:t>
      </w:r>
      <w:r>
        <w:tab/>
        <w:t xml:space="preserve">For the life of the collection system, a plot map showing each existing and planned collector in the system and providing a unique identification location label for each collector, including: </w:t>
      </w:r>
    </w:p>
    <w:p w:rsidR="00F307D1" w:rsidRDefault="00F307D1" w:rsidP="008B37DF">
      <w:pPr>
        <w:widowControl w:val="0"/>
        <w:autoSpaceDE w:val="0"/>
        <w:autoSpaceDN w:val="0"/>
        <w:adjustRightInd w:val="0"/>
        <w:ind w:left="2160" w:hanging="720"/>
      </w:pPr>
    </w:p>
    <w:p w:rsidR="008B37DF" w:rsidRDefault="008B37DF" w:rsidP="008B37DF">
      <w:pPr>
        <w:widowControl w:val="0"/>
        <w:autoSpaceDE w:val="0"/>
        <w:autoSpaceDN w:val="0"/>
        <w:adjustRightInd w:val="0"/>
        <w:ind w:left="2160" w:hanging="720"/>
      </w:pPr>
      <w:r>
        <w:t>1)</w:t>
      </w:r>
      <w:r>
        <w:tab/>
        <w:t xml:space="preserve">The location of all newly installed collectors as specified under Section 220.240(b) of this Part. </w:t>
      </w:r>
    </w:p>
    <w:p w:rsidR="00F307D1" w:rsidRDefault="00F307D1" w:rsidP="008B37DF">
      <w:pPr>
        <w:widowControl w:val="0"/>
        <w:autoSpaceDE w:val="0"/>
        <w:autoSpaceDN w:val="0"/>
        <w:adjustRightInd w:val="0"/>
        <w:ind w:left="2160" w:hanging="720"/>
      </w:pPr>
    </w:p>
    <w:p w:rsidR="008B37DF" w:rsidRDefault="008B37DF" w:rsidP="008B37DF">
      <w:pPr>
        <w:widowControl w:val="0"/>
        <w:autoSpaceDE w:val="0"/>
        <w:autoSpaceDN w:val="0"/>
        <w:adjustRightInd w:val="0"/>
        <w:ind w:left="2160" w:hanging="720"/>
      </w:pPr>
      <w:r>
        <w:t>2)</w:t>
      </w:r>
      <w:r>
        <w:tab/>
        <w:t xml:space="preserve">The nature, date of deposition, amount, and location of asbestos-containing or </w:t>
      </w:r>
      <w:proofErr w:type="spellStart"/>
      <w:r>
        <w:t>nondegradable</w:t>
      </w:r>
      <w:proofErr w:type="spellEnd"/>
      <w:r>
        <w:t xml:space="preserve"> waste excluded from collection, as provided in Section 220.220(b)(1)(D)(</w:t>
      </w:r>
      <w:proofErr w:type="spellStart"/>
      <w:r>
        <w:t>i</w:t>
      </w:r>
      <w:proofErr w:type="spellEnd"/>
      <w:r>
        <w:t xml:space="preserve">) of this Subpart, as well as any nonproductive areas excluded from collection, as provided in Section 220.220(b)(1)(D)(ii) of this Subpart. </w:t>
      </w:r>
    </w:p>
    <w:p w:rsidR="00F307D1" w:rsidRDefault="00F307D1" w:rsidP="008B37DF">
      <w:pPr>
        <w:widowControl w:val="0"/>
        <w:autoSpaceDE w:val="0"/>
        <w:autoSpaceDN w:val="0"/>
        <w:adjustRightInd w:val="0"/>
        <w:ind w:left="1440" w:hanging="720"/>
      </w:pPr>
    </w:p>
    <w:p w:rsidR="008B37DF" w:rsidRDefault="008B37DF" w:rsidP="008B37DF">
      <w:pPr>
        <w:widowControl w:val="0"/>
        <w:autoSpaceDE w:val="0"/>
        <w:autoSpaceDN w:val="0"/>
        <w:adjustRightInd w:val="0"/>
        <w:ind w:left="1440" w:hanging="720"/>
      </w:pPr>
      <w:r>
        <w:t>e)</w:t>
      </w:r>
      <w:r>
        <w:tab/>
        <w:t xml:space="preserve">All collection and control system </w:t>
      </w:r>
      <w:proofErr w:type="spellStart"/>
      <w:r>
        <w:t>exceedences</w:t>
      </w:r>
      <w:proofErr w:type="spellEnd"/>
      <w:r>
        <w:t xml:space="preserve"> of the operational standards in Section 220.250 of this Subpart, the reading the subsequent month whether or not the second reading is an </w:t>
      </w:r>
      <w:proofErr w:type="spellStart"/>
      <w:r>
        <w:t>exceedence</w:t>
      </w:r>
      <w:proofErr w:type="spellEnd"/>
      <w:r>
        <w:t xml:space="preserve">, and the location of each </w:t>
      </w:r>
      <w:proofErr w:type="spellStart"/>
      <w:r>
        <w:t>exceedence</w:t>
      </w:r>
      <w:proofErr w:type="spellEnd"/>
      <w:r>
        <w:t xml:space="preserve">. </w:t>
      </w:r>
    </w:p>
    <w:p w:rsidR="00F307D1" w:rsidRDefault="00F307D1" w:rsidP="008B37DF">
      <w:pPr>
        <w:widowControl w:val="0"/>
        <w:autoSpaceDE w:val="0"/>
        <w:autoSpaceDN w:val="0"/>
        <w:adjustRightInd w:val="0"/>
        <w:ind w:left="1440" w:hanging="720"/>
      </w:pPr>
    </w:p>
    <w:p w:rsidR="008B37DF" w:rsidRDefault="008B37DF" w:rsidP="008B37DF">
      <w:pPr>
        <w:widowControl w:val="0"/>
        <w:autoSpaceDE w:val="0"/>
        <w:autoSpaceDN w:val="0"/>
        <w:adjustRightInd w:val="0"/>
        <w:ind w:left="1440" w:hanging="720"/>
      </w:pPr>
      <w:r>
        <w:t>f)</w:t>
      </w:r>
      <w:r>
        <w:tab/>
        <w:t>Owners or operators who convert design capacity from volume to mass or mass to volume to demonstrate that landfill design capacity is less than 2.5 million Mg or 2.5 million m</w:t>
      </w:r>
      <w:r w:rsidRPr="00EF3E3C">
        <w:rPr>
          <w:vertAlign w:val="superscript"/>
        </w:rPr>
        <w:t>3</w:t>
      </w:r>
      <w:r>
        <w:t xml:space="preserve">, as provided in the definition of "design capacity", shall keep records of the annual recalculation of site-specific density, design capacity, and the supporting documentation. </w:t>
      </w:r>
    </w:p>
    <w:sectPr w:rsidR="008B37DF" w:rsidSect="008B37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7DF"/>
    <w:rsid w:val="00100C6D"/>
    <w:rsid w:val="003E13A3"/>
    <w:rsid w:val="005C3366"/>
    <w:rsid w:val="0063604F"/>
    <w:rsid w:val="008B37DF"/>
    <w:rsid w:val="00EF3E3C"/>
    <w:rsid w:val="00F3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