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44" w:rsidRDefault="00B02244" w:rsidP="00B02244">
      <w:pPr>
        <w:widowControl w:val="0"/>
        <w:autoSpaceDE w:val="0"/>
        <w:autoSpaceDN w:val="0"/>
        <w:adjustRightInd w:val="0"/>
      </w:pPr>
      <w:bookmarkStart w:id="0" w:name="_GoBack"/>
      <w:bookmarkEnd w:id="0"/>
    </w:p>
    <w:p w:rsidR="00B02244" w:rsidRDefault="00B02244" w:rsidP="00B02244">
      <w:pPr>
        <w:widowControl w:val="0"/>
        <w:autoSpaceDE w:val="0"/>
        <w:autoSpaceDN w:val="0"/>
        <w:adjustRightInd w:val="0"/>
      </w:pPr>
      <w:r>
        <w:rPr>
          <w:b/>
          <w:bCs/>
        </w:rPr>
        <w:t xml:space="preserve">Section 220.260 </w:t>
      </w:r>
      <w:r w:rsidR="00E67B77">
        <w:rPr>
          <w:b/>
          <w:bCs/>
        </w:rPr>
        <w:t xml:space="preserve"> </w:t>
      </w:r>
      <w:r>
        <w:rPr>
          <w:b/>
          <w:bCs/>
        </w:rPr>
        <w:t xml:space="preserve"> Test Methods and Procedures</w:t>
      </w:r>
      <w:r>
        <w:t xml:space="preserve"> </w:t>
      </w:r>
    </w:p>
    <w:p w:rsidR="00B02244" w:rsidRDefault="00B02244" w:rsidP="00B02244">
      <w:pPr>
        <w:widowControl w:val="0"/>
        <w:autoSpaceDE w:val="0"/>
        <w:autoSpaceDN w:val="0"/>
        <w:adjustRightInd w:val="0"/>
      </w:pPr>
    </w:p>
    <w:p w:rsidR="00B02244" w:rsidRDefault="00B02244" w:rsidP="00B02244">
      <w:pPr>
        <w:widowControl w:val="0"/>
        <w:autoSpaceDE w:val="0"/>
        <w:autoSpaceDN w:val="0"/>
        <w:adjustRightInd w:val="0"/>
        <w:ind w:left="1440" w:hanging="720"/>
      </w:pPr>
      <w:r>
        <w:t>a)</w:t>
      </w:r>
      <w:r>
        <w:tab/>
        <w:t xml:space="preserve">The landfill owner or operator shall calculate the NMOC emission rate using the equation provided in either subsection (a)(1)(A) or subsection (a)(1)(B) of this Section and make a determination that the emission rate is less than 50 Mg/yr, pursuant to subsection (a)(2), (a)(3), (a)(4), or (e), or install a gas collection and control system pursuant to Sections 220.220 and 220.230 of this Subpart.  However, both equations may be used if the actual year-to-year solid waste acceptance rate is known pursuant to subsection (a)(1)(A) of this Section, for part of the life of the landfill and the actual year-to-year solid waste acceptance rate is unknown, pursuant to subsection (a)(1)(B) of this Section, for part of the life of the landfill.  If the NMOC emission rate calculated in this subsection is less than 50 Mg/yr, then the landfill owner shall submit an emission rate report as provided in Section 220.280(b) of this Subpart, and shall recalculate the NMOC mass emission rate as required under Section 220.210(c) of this Subpart. </w:t>
      </w:r>
    </w:p>
    <w:p w:rsidR="008309C9" w:rsidRDefault="008309C9" w:rsidP="00B02244">
      <w:pPr>
        <w:widowControl w:val="0"/>
        <w:autoSpaceDE w:val="0"/>
        <w:autoSpaceDN w:val="0"/>
        <w:adjustRightInd w:val="0"/>
        <w:ind w:left="2160" w:hanging="720"/>
      </w:pPr>
    </w:p>
    <w:p w:rsidR="00B02244" w:rsidRDefault="00B02244" w:rsidP="00B02244">
      <w:pPr>
        <w:widowControl w:val="0"/>
        <w:autoSpaceDE w:val="0"/>
        <w:autoSpaceDN w:val="0"/>
        <w:adjustRightInd w:val="0"/>
        <w:ind w:left="2160" w:hanging="720"/>
      </w:pPr>
      <w:r>
        <w:t>1)</w:t>
      </w:r>
      <w:r>
        <w:tab/>
        <w:t>The values to be used in both equ</w:t>
      </w:r>
      <w:r w:rsidR="008815BA">
        <w:t>ations are 0.05/yr for k, 170 m</w:t>
      </w:r>
      <w:r w:rsidRPr="008815BA">
        <w:rPr>
          <w:vertAlign w:val="superscript"/>
        </w:rPr>
        <w:t>3</w:t>
      </w:r>
      <w:r>
        <w:t xml:space="preserve"> per Mg for L</w:t>
      </w:r>
      <w:r w:rsidRPr="00E67B77">
        <w:rPr>
          <w:vertAlign w:val="subscript"/>
        </w:rPr>
        <w:t>o</w:t>
      </w:r>
      <w:r>
        <w:t xml:space="preserve">, and 4,000 </w:t>
      </w:r>
      <w:proofErr w:type="spellStart"/>
      <w:r>
        <w:t>ppmv</w:t>
      </w:r>
      <w:proofErr w:type="spellEnd"/>
      <w:r>
        <w:t xml:space="preserve"> as hexane for the C</w:t>
      </w:r>
      <w:r w:rsidRPr="00E67B77">
        <w:rPr>
          <w:vertAlign w:val="subscript"/>
        </w:rPr>
        <w:t>NMOC</w:t>
      </w:r>
      <w:r>
        <w:t xml:space="preserve">. </w:t>
      </w:r>
    </w:p>
    <w:p w:rsidR="008309C9" w:rsidRDefault="008309C9" w:rsidP="00B02244">
      <w:pPr>
        <w:widowControl w:val="0"/>
        <w:autoSpaceDE w:val="0"/>
        <w:autoSpaceDN w:val="0"/>
        <w:adjustRightInd w:val="0"/>
        <w:ind w:left="2880" w:hanging="720"/>
      </w:pPr>
    </w:p>
    <w:p w:rsidR="00B02244" w:rsidRDefault="00B02244" w:rsidP="00B02244">
      <w:pPr>
        <w:widowControl w:val="0"/>
        <w:autoSpaceDE w:val="0"/>
        <w:autoSpaceDN w:val="0"/>
        <w:adjustRightInd w:val="0"/>
        <w:ind w:left="2880" w:hanging="720"/>
      </w:pPr>
      <w:r>
        <w:t>A)</w:t>
      </w:r>
      <w:r>
        <w:tab/>
        <w:t xml:space="preserve">The following equation shall be used if the actual year-to-year solid waste acceptance rate is known: </w:t>
      </w:r>
    </w:p>
    <w:p w:rsidR="00161BF1" w:rsidRDefault="00161BF1" w:rsidP="00B02244">
      <w:pPr>
        <w:widowControl w:val="0"/>
        <w:autoSpaceDE w:val="0"/>
        <w:autoSpaceDN w:val="0"/>
        <w:adjustRightInd w:val="0"/>
        <w:ind w:left="2880" w:hanging="720"/>
      </w:pPr>
    </w:p>
    <w:tbl>
      <w:tblPr>
        <w:tblW w:w="0" w:type="auto"/>
        <w:tblInd w:w="2925" w:type="dxa"/>
        <w:tblLook w:val="0000" w:firstRow="0" w:lastRow="0" w:firstColumn="0" w:lastColumn="0" w:noHBand="0" w:noVBand="0"/>
      </w:tblPr>
      <w:tblGrid>
        <w:gridCol w:w="811"/>
        <w:gridCol w:w="248"/>
        <w:gridCol w:w="492"/>
        <w:gridCol w:w="3783"/>
      </w:tblGrid>
      <w:tr w:rsidR="00161BF1">
        <w:tblPrEx>
          <w:tblCellMar>
            <w:top w:w="0" w:type="dxa"/>
            <w:bottom w:w="0" w:type="dxa"/>
          </w:tblCellMar>
        </w:tblPrEx>
        <w:tc>
          <w:tcPr>
            <w:tcW w:w="811" w:type="dxa"/>
            <w:vMerge w:val="restart"/>
            <w:vAlign w:val="center"/>
          </w:tcPr>
          <w:p w:rsidR="00161BF1" w:rsidRDefault="00161BF1" w:rsidP="00161BF1">
            <w:pPr>
              <w:widowControl w:val="0"/>
              <w:autoSpaceDE w:val="0"/>
              <w:autoSpaceDN w:val="0"/>
              <w:adjustRightInd w:val="0"/>
              <w:ind w:right="-99"/>
            </w:pPr>
            <w:r>
              <w:t>M</w:t>
            </w:r>
            <w:r>
              <w:rPr>
                <w:vertAlign w:val="subscript"/>
              </w:rPr>
              <w:t>NMOC</w:t>
            </w:r>
          </w:p>
        </w:tc>
        <w:tc>
          <w:tcPr>
            <w:tcW w:w="248" w:type="dxa"/>
            <w:vMerge w:val="restart"/>
            <w:vAlign w:val="center"/>
          </w:tcPr>
          <w:p w:rsidR="00161BF1" w:rsidRDefault="00161BF1" w:rsidP="00161BF1">
            <w:pPr>
              <w:widowControl w:val="0"/>
              <w:autoSpaceDE w:val="0"/>
              <w:autoSpaceDN w:val="0"/>
              <w:adjustRightInd w:val="0"/>
              <w:ind w:left="-108" w:right="-90"/>
              <w:jc w:val="center"/>
            </w:pPr>
            <w:r>
              <w:t>=</w:t>
            </w:r>
          </w:p>
        </w:tc>
        <w:tc>
          <w:tcPr>
            <w:tcW w:w="492" w:type="dxa"/>
            <w:vAlign w:val="center"/>
          </w:tcPr>
          <w:p w:rsidR="00161BF1" w:rsidRPr="00956A49" w:rsidRDefault="00161BF1" w:rsidP="00161BF1">
            <w:pPr>
              <w:widowControl w:val="0"/>
              <w:autoSpaceDE w:val="0"/>
              <w:autoSpaceDN w:val="0"/>
              <w:adjustRightInd w:val="0"/>
              <w:ind w:left="-108" w:right="-99"/>
              <w:jc w:val="center"/>
              <w:rPr>
                <w:vertAlign w:val="subscript"/>
              </w:rPr>
            </w:pPr>
            <w:r w:rsidRPr="00956A49">
              <w:rPr>
                <w:vertAlign w:val="subscript"/>
              </w:rPr>
              <w:t>n</w:t>
            </w:r>
          </w:p>
        </w:tc>
        <w:tc>
          <w:tcPr>
            <w:tcW w:w="3783" w:type="dxa"/>
            <w:vMerge w:val="restart"/>
            <w:vAlign w:val="center"/>
          </w:tcPr>
          <w:p w:rsidR="00161BF1" w:rsidRDefault="00161BF1" w:rsidP="00161BF1">
            <w:pPr>
              <w:widowControl w:val="0"/>
              <w:autoSpaceDE w:val="0"/>
              <w:autoSpaceDN w:val="0"/>
              <w:adjustRightInd w:val="0"/>
              <w:ind w:left="-117"/>
            </w:pPr>
            <w:r>
              <w:t>2kL</w:t>
            </w:r>
            <w:r w:rsidRPr="00E67B77">
              <w:rPr>
                <w:vertAlign w:val="subscript"/>
              </w:rPr>
              <w:t>o</w:t>
            </w:r>
            <w:r>
              <w:rPr>
                <w:vertAlign w:val="subscript"/>
              </w:rPr>
              <w:t xml:space="preserve"> </w:t>
            </w:r>
            <w:proofErr w:type="spellStart"/>
            <w:r>
              <w:t>M</w:t>
            </w:r>
            <w:r w:rsidRPr="00761022">
              <w:rPr>
                <w:vertAlign w:val="subscript"/>
              </w:rPr>
              <w:t>i</w:t>
            </w:r>
            <w:proofErr w:type="spellEnd"/>
            <w:r>
              <w:t>(e</w:t>
            </w:r>
            <w:r w:rsidRPr="00761022">
              <w:rPr>
                <w:vertAlign w:val="superscript"/>
              </w:rPr>
              <w:t>-</w:t>
            </w:r>
            <w:proofErr w:type="spellStart"/>
            <w:r w:rsidRPr="00761022">
              <w:rPr>
                <w:vertAlign w:val="superscript"/>
              </w:rPr>
              <w:t>kti</w:t>
            </w:r>
            <w:proofErr w:type="spellEnd"/>
            <w:r>
              <w:t>)(CN</w:t>
            </w:r>
            <w:r w:rsidRPr="00761022">
              <w:rPr>
                <w:vertAlign w:val="subscript"/>
              </w:rPr>
              <w:t>NMOC</w:t>
            </w:r>
            <w:r>
              <w:t>)(3.6x10</w:t>
            </w:r>
            <w:r w:rsidRPr="00761022">
              <w:rPr>
                <w:vertAlign w:val="superscript"/>
              </w:rPr>
              <w:t>-9</w:t>
            </w:r>
            <w:r>
              <w:t>)</w:t>
            </w:r>
          </w:p>
        </w:tc>
      </w:tr>
      <w:tr w:rsidR="00161BF1">
        <w:tblPrEx>
          <w:tblCellMar>
            <w:top w:w="0" w:type="dxa"/>
            <w:bottom w:w="0" w:type="dxa"/>
          </w:tblCellMar>
        </w:tblPrEx>
        <w:tc>
          <w:tcPr>
            <w:tcW w:w="811" w:type="dxa"/>
            <w:vMerge/>
            <w:vAlign w:val="center"/>
          </w:tcPr>
          <w:p w:rsidR="00161BF1" w:rsidRDefault="00161BF1" w:rsidP="00161BF1">
            <w:pPr>
              <w:widowControl w:val="0"/>
              <w:autoSpaceDE w:val="0"/>
              <w:autoSpaceDN w:val="0"/>
              <w:adjustRightInd w:val="0"/>
              <w:ind w:right="-99"/>
            </w:pPr>
          </w:p>
        </w:tc>
        <w:tc>
          <w:tcPr>
            <w:tcW w:w="248" w:type="dxa"/>
            <w:vMerge/>
            <w:vAlign w:val="center"/>
          </w:tcPr>
          <w:p w:rsidR="00161BF1" w:rsidRDefault="00161BF1" w:rsidP="00161BF1">
            <w:pPr>
              <w:widowControl w:val="0"/>
              <w:autoSpaceDE w:val="0"/>
              <w:autoSpaceDN w:val="0"/>
              <w:adjustRightInd w:val="0"/>
              <w:ind w:left="-108" w:right="-90"/>
              <w:jc w:val="center"/>
            </w:pPr>
          </w:p>
        </w:tc>
        <w:tc>
          <w:tcPr>
            <w:tcW w:w="492" w:type="dxa"/>
            <w:vAlign w:val="center"/>
          </w:tcPr>
          <w:p w:rsidR="00161BF1" w:rsidRDefault="00161BF1" w:rsidP="00161BF1">
            <w:pPr>
              <w:widowControl w:val="0"/>
              <w:autoSpaceDE w:val="0"/>
              <w:autoSpaceDN w:val="0"/>
              <w:adjustRightInd w:val="0"/>
              <w:ind w:left="-108" w:right="-99"/>
              <w:jc w:val="center"/>
            </w:pPr>
            <w:r>
              <w:t>Σ</w:t>
            </w:r>
          </w:p>
        </w:tc>
        <w:tc>
          <w:tcPr>
            <w:tcW w:w="3783" w:type="dxa"/>
            <w:vMerge/>
            <w:vAlign w:val="center"/>
          </w:tcPr>
          <w:p w:rsidR="00161BF1" w:rsidRDefault="00161BF1" w:rsidP="00161BF1">
            <w:pPr>
              <w:widowControl w:val="0"/>
              <w:autoSpaceDE w:val="0"/>
              <w:autoSpaceDN w:val="0"/>
              <w:adjustRightInd w:val="0"/>
              <w:ind w:left="-117"/>
            </w:pPr>
          </w:p>
        </w:tc>
      </w:tr>
      <w:tr w:rsidR="00161BF1">
        <w:tblPrEx>
          <w:tblCellMar>
            <w:top w:w="0" w:type="dxa"/>
            <w:bottom w:w="0" w:type="dxa"/>
          </w:tblCellMar>
        </w:tblPrEx>
        <w:tc>
          <w:tcPr>
            <w:tcW w:w="811" w:type="dxa"/>
            <w:vMerge/>
            <w:vAlign w:val="center"/>
          </w:tcPr>
          <w:p w:rsidR="00161BF1" w:rsidRDefault="00161BF1" w:rsidP="00161BF1">
            <w:pPr>
              <w:widowControl w:val="0"/>
              <w:autoSpaceDE w:val="0"/>
              <w:autoSpaceDN w:val="0"/>
              <w:adjustRightInd w:val="0"/>
              <w:ind w:right="-99"/>
            </w:pPr>
          </w:p>
        </w:tc>
        <w:tc>
          <w:tcPr>
            <w:tcW w:w="248" w:type="dxa"/>
            <w:vMerge/>
            <w:vAlign w:val="center"/>
          </w:tcPr>
          <w:p w:rsidR="00161BF1" w:rsidRDefault="00161BF1" w:rsidP="00161BF1">
            <w:pPr>
              <w:widowControl w:val="0"/>
              <w:autoSpaceDE w:val="0"/>
              <w:autoSpaceDN w:val="0"/>
              <w:adjustRightInd w:val="0"/>
              <w:ind w:left="-108" w:right="-90"/>
              <w:jc w:val="center"/>
            </w:pPr>
          </w:p>
        </w:tc>
        <w:tc>
          <w:tcPr>
            <w:tcW w:w="492" w:type="dxa"/>
          </w:tcPr>
          <w:p w:rsidR="00161BF1" w:rsidRPr="00956A49" w:rsidRDefault="00161BF1" w:rsidP="00161BF1">
            <w:pPr>
              <w:widowControl w:val="0"/>
              <w:autoSpaceDE w:val="0"/>
              <w:autoSpaceDN w:val="0"/>
              <w:adjustRightInd w:val="0"/>
              <w:ind w:left="-108" w:right="-99"/>
              <w:jc w:val="center"/>
              <w:rPr>
                <w:vertAlign w:val="superscript"/>
              </w:rPr>
            </w:pPr>
            <w:r w:rsidRPr="00956A49">
              <w:rPr>
                <w:vertAlign w:val="superscript"/>
              </w:rPr>
              <w:t>i=1</w:t>
            </w:r>
          </w:p>
        </w:tc>
        <w:tc>
          <w:tcPr>
            <w:tcW w:w="3783" w:type="dxa"/>
            <w:vMerge/>
            <w:vAlign w:val="center"/>
          </w:tcPr>
          <w:p w:rsidR="00161BF1" w:rsidRDefault="00161BF1" w:rsidP="00161BF1">
            <w:pPr>
              <w:widowControl w:val="0"/>
              <w:autoSpaceDE w:val="0"/>
              <w:autoSpaceDN w:val="0"/>
              <w:adjustRightInd w:val="0"/>
              <w:ind w:left="-117"/>
            </w:pPr>
          </w:p>
        </w:tc>
      </w:tr>
    </w:tbl>
    <w:p w:rsidR="00161BF1" w:rsidRDefault="00161BF1" w:rsidP="00B02244">
      <w:pPr>
        <w:widowControl w:val="0"/>
        <w:autoSpaceDE w:val="0"/>
        <w:autoSpaceDN w:val="0"/>
        <w:adjustRightInd w:val="0"/>
        <w:ind w:left="2880" w:hanging="720"/>
      </w:pPr>
    </w:p>
    <w:p w:rsidR="00B02244" w:rsidRDefault="00B02244" w:rsidP="00B02244">
      <w:pPr>
        <w:widowControl w:val="0"/>
        <w:autoSpaceDE w:val="0"/>
        <w:autoSpaceDN w:val="0"/>
        <w:adjustRightInd w:val="0"/>
        <w:ind w:left="2880" w:hanging="720"/>
      </w:pPr>
      <w:r>
        <w:tab/>
        <w:t xml:space="preserve">where: </w:t>
      </w:r>
    </w:p>
    <w:p w:rsidR="00E713B5" w:rsidRDefault="00E713B5" w:rsidP="00B02244">
      <w:pPr>
        <w:widowControl w:val="0"/>
        <w:autoSpaceDE w:val="0"/>
        <w:autoSpaceDN w:val="0"/>
        <w:adjustRightInd w:val="0"/>
        <w:ind w:left="2880" w:hanging="720"/>
      </w:pPr>
    </w:p>
    <w:tbl>
      <w:tblPr>
        <w:tblW w:w="0" w:type="auto"/>
        <w:tblInd w:w="2958" w:type="dxa"/>
        <w:tblLook w:val="0000" w:firstRow="0" w:lastRow="0" w:firstColumn="0" w:lastColumn="0" w:noHBand="0" w:noVBand="0"/>
      </w:tblPr>
      <w:tblGrid>
        <w:gridCol w:w="1110"/>
        <w:gridCol w:w="333"/>
        <w:gridCol w:w="5175"/>
      </w:tblGrid>
      <w:tr w:rsidR="00E713B5">
        <w:tblPrEx>
          <w:tblCellMar>
            <w:top w:w="0" w:type="dxa"/>
            <w:bottom w:w="0" w:type="dxa"/>
          </w:tblCellMar>
        </w:tblPrEx>
        <w:tc>
          <w:tcPr>
            <w:tcW w:w="1110" w:type="dxa"/>
          </w:tcPr>
          <w:p w:rsidR="00E713B5" w:rsidRDefault="00E713B5" w:rsidP="00161BF1">
            <w:pPr>
              <w:widowControl w:val="0"/>
              <w:autoSpaceDE w:val="0"/>
              <w:autoSpaceDN w:val="0"/>
              <w:adjustRightInd w:val="0"/>
              <w:ind w:right="-117"/>
            </w:pPr>
            <w:r>
              <w:t>M</w:t>
            </w:r>
            <w:r w:rsidRPr="00E713B5">
              <w:rPr>
                <w:vertAlign w:val="subscript"/>
              </w:rPr>
              <w:t>NMOC</w:t>
            </w:r>
          </w:p>
        </w:tc>
        <w:tc>
          <w:tcPr>
            <w:tcW w:w="333" w:type="dxa"/>
          </w:tcPr>
          <w:p w:rsidR="00E713B5" w:rsidRDefault="00E713B5" w:rsidP="00161BF1">
            <w:pPr>
              <w:widowControl w:val="0"/>
              <w:autoSpaceDE w:val="0"/>
              <w:autoSpaceDN w:val="0"/>
              <w:adjustRightInd w:val="0"/>
              <w:ind w:left="-99" w:right="-114"/>
              <w:jc w:val="center"/>
            </w:pPr>
            <w:r>
              <w:t>=</w:t>
            </w:r>
          </w:p>
        </w:tc>
        <w:tc>
          <w:tcPr>
            <w:tcW w:w="5175" w:type="dxa"/>
          </w:tcPr>
          <w:p w:rsidR="00E713B5" w:rsidRDefault="00E713B5" w:rsidP="00161BF1">
            <w:pPr>
              <w:widowControl w:val="0"/>
              <w:autoSpaceDE w:val="0"/>
              <w:autoSpaceDN w:val="0"/>
              <w:adjustRightInd w:val="0"/>
              <w:ind w:left="-57"/>
            </w:pPr>
            <w:r>
              <w:t>Total NMOC emission rate from the landfill, Mg/yr</w:t>
            </w:r>
          </w:p>
        </w:tc>
      </w:tr>
      <w:tr w:rsidR="00E713B5">
        <w:tblPrEx>
          <w:tblCellMar>
            <w:top w:w="0" w:type="dxa"/>
            <w:bottom w:w="0" w:type="dxa"/>
          </w:tblCellMar>
        </w:tblPrEx>
        <w:tc>
          <w:tcPr>
            <w:tcW w:w="1110" w:type="dxa"/>
          </w:tcPr>
          <w:p w:rsidR="00E713B5" w:rsidRDefault="00E713B5" w:rsidP="00161BF1">
            <w:pPr>
              <w:widowControl w:val="0"/>
              <w:autoSpaceDE w:val="0"/>
              <w:autoSpaceDN w:val="0"/>
              <w:adjustRightInd w:val="0"/>
              <w:ind w:right="-117"/>
            </w:pPr>
            <w:r>
              <w:t>k</w:t>
            </w:r>
          </w:p>
        </w:tc>
        <w:tc>
          <w:tcPr>
            <w:tcW w:w="333" w:type="dxa"/>
          </w:tcPr>
          <w:p w:rsidR="00E713B5" w:rsidRDefault="00E713B5" w:rsidP="00161BF1">
            <w:pPr>
              <w:widowControl w:val="0"/>
              <w:autoSpaceDE w:val="0"/>
              <w:autoSpaceDN w:val="0"/>
              <w:adjustRightInd w:val="0"/>
              <w:ind w:left="-99" w:right="-114"/>
              <w:jc w:val="center"/>
            </w:pPr>
            <w:r>
              <w:t>=</w:t>
            </w:r>
          </w:p>
        </w:tc>
        <w:tc>
          <w:tcPr>
            <w:tcW w:w="5175" w:type="dxa"/>
          </w:tcPr>
          <w:p w:rsidR="00E713B5" w:rsidRDefault="00E713B5" w:rsidP="00161BF1">
            <w:pPr>
              <w:widowControl w:val="0"/>
              <w:autoSpaceDE w:val="0"/>
              <w:autoSpaceDN w:val="0"/>
              <w:adjustRightInd w:val="0"/>
              <w:ind w:left="-57"/>
            </w:pPr>
            <w:r>
              <w:t>methane generation rate constant, yr</w:t>
            </w:r>
            <w:r w:rsidRPr="00E713B5">
              <w:rPr>
                <w:vertAlign w:val="superscript"/>
              </w:rPr>
              <w:t>-1</w:t>
            </w:r>
          </w:p>
        </w:tc>
      </w:tr>
      <w:tr w:rsidR="00E713B5">
        <w:tblPrEx>
          <w:tblCellMar>
            <w:top w:w="0" w:type="dxa"/>
            <w:bottom w:w="0" w:type="dxa"/>
          </w:tblCellMar>
        </w:tblPrEx>
        <w:tc>
          <w:tcPr>
            <w:tcW w:w="1110" w:type="dxa"/>
          </w:tcPr>
          <w:p w:rsidR="00E713B5" w:rsidRDefault="00E713B5" w:rsidP="00161BF1">
            <w:pPr>
              <w:widowControl w:val="0"/>
              <w:autoSpaceDE w:val="0"/>
              <w:autoSpaceDN w:val="0"/>
              <w:adjustRightInd w:val="0"/>
              <w:ind w:right="-117"/>
            </w:pPr>
            <w:r>
              <w:t>L</w:t>
            </w:r>
            <w:r w:rsidRPr="00E713B5">
              <w:rPr>
                <w:vertAlign w:val="subscript"/>
              </w:rPr>
              <w:t>o</w:t>
            </w:r>
          </w:p>
        </w:tc>
        <w:tc>
          <w:tcPr>
            <w:tcW w:w="333" w:type="dxa"/>
          </w:tcPr>
          <w:p w:rsidR="00E713B5" w:rsidRDefault="00E713B5" w:rsidP="00161BF1">
            <w:pPr>
              <w:widowControl w:val="0"/>
              <w:autoSpaceDE w:val="0"/>
              <w:autoSpaceDN w:val="0"/>
              <w:adjustRightInd w:val="0"/>
              <w:ind w:left="-99" w:right="-114"/>
              <w:jc w:val="center"/>
            </w:pPr>
            <w:r>
              <w:t>=</w:t>
            </w:r>
          </w:p>
        </w:tc>
        <w:tc>
          <w:tcPr>
            <w:tcW w:w="5175" w:type="dxa"/>
          </w:tcPr>
          <w:p w:rsidR="00E713B5" w:rsidRPr="00E713B5" w:rsidRDefault="00E713B5" w:rsidP="00161BF1">
            <w:pPr>
              <w:widowControl w:val="0"/>
              <w:autoSpaceDE w:val="0"/>
              <w:autoSpaceDN w:val="0"/>
              <w:adjustRightInd w:val="0"/>
              <w:ind w:left="-57"/>
            </w:pPr>
            <w:r>
              <w:t>methane generation potential, m</w:t>
            </w:r>
            <w:r w:rsidRPr="00E713B5">
              <w:rPr>
                <w:vertAlign w:val="superscript"/>
              </w:rPr>
              <w:t>3</w:t>
            </w:r>
            <w:r>
              <w:t xml:space="preserve"> per Mg solid waste</w:t>
            </w:r>
          </w:p>
        </w:tc>
      </w:tr>
      <w:tr w:rsidR="00E713B5">
        <w:tblPrEx>
          <w:tblCellMar>
            <w:top w:w="0" w:type="dxa"/>
            <w:bottom w:w="0" w:type="dxa"/>
          </w:tblCellMar>
        </w:tblPrEx>
        <w:tc>
          <w:tcPr>
            <w:tcW w:w="1110" w:type="dxa"/>
          </w:tcPr>
          <w:p w:rsidR="00E713B5" w:rsidRDefault="00E713B5" w:rsidP="00161BF1">
            <w:pPr>
              <w:widowControl w:val="0"/>
              <w:autoSpaceDE w:val="0"/>
              <w:autoSpaceDN w:val="0"/>
              <w:adjustRightInd w:val="0"/>
              <w:ind w:right="-117"/>
            </w:pPr>
            <w:r>
              <w:t>M</w:t>
            </w:r>
            <w:r w:rsidRPr="00E713B5">
              <w:rPr>
                <w:vertAlign w:val="subscript"/>
              </w:rPr>
              <w:t>i</w:t>
            </w:r>
          </w:p>
        </w:tc>
        <w:tc>
          <w:tcPr>
            <w:tcW w:w="333" w:type="dxa"/>
          </w:tcPr>
          <w:p w:rsidR="00E713B5" w:rsidRDefault="00E713B5" w:rsidP="00161BF1">
            <w:pPr>
              <w:widowControl w:val="0"/>
              <w:autoSpaceDE w:val="0"/>
              <w:autoSpaceDN w:val="0"/>
              <w:adjustRightInd w:val="0"/>
              <w:ind w:left="-99" w:right="-114"/>
              <w:jc w:val="center"/>
            </w:pPr>
            <w:r>
              <w:t>=</w:t>
            </w:r>
          </w:p>
        </w:tc>
        <w:tc>
          <w:tcPr>
            <w:tcW w:w="5175" w:type="dxa"/>
          </w:tcPr>
          <w:p w:rsidR="00E713B5" w:rsidRPr="00E713B5" w:rsidRDefault="00E713B5" w:rsidP="00161BF1">
            <w:pPr>
              <w:widowControl w:val="0"/>
              <w:autoSpaceDE w:val="0"/>
              <w:autoSpaceDN w:val="0"/>
              <w:adjustRightInd w:val="0"/>
              <w:ind w:left="-57"/>
            </w:pPr>
            <w:r>
              <w:t xml:space="preserve">mass of solid waste in the </w:t>
            </w:r>
            <w:proofErr w:type="spellStart"/>
            <w:r>
              <w:t>i</w:t>
            </w:r>
            <w:r w:rsidRPr="00E713B5">
              <w:rPr>
                <w:vertAlign w:val="superscript"/>
              </w:rPr>
              <w:t>th</w:t>
            </w:r>
            <w:proofErr w:type="spellEnd"/>
            <w:r>
              <w:t xml:space="preserve"> section, Mg</w:t>
            </w:r>
          </w:p>
        </w:tc>
      </w:tr>
      <w:tr w:rsidR="00E713B5">
        <w:tblPrEx>
          <w:tblCellMar>
            <w:top w:w="0" w:type="dxa"/>
            <w:bottom w:w="0" w:type="dxa"/>
          </w:tblCellMar>
        </w:tblPrEx>
        <w:tc>
          <w:tcPr>
            <w:tcW w:w="1110" w:type="dxa"/>
          </w:tcPr>
          <w:p w:rsidR="00E713B5" w:rsidRDefault="00E713B5" w:rsidP="00161BF1">
            <w:pPr>
              <w:widowControl w:val="0"/>
              <w:autoSpaceDE w:val="0"/>
              <w:autoSpaceDN w:val="0"/>
              <w:adjustRightInd w:val="0"/>
              <w:ind w:right="-117"/>
            </w:pPr>
            <w:proofErr w:type="spellStart"/>
            <w:r>
              <w:t>t</w:t>
            </w:r>
            <w:r w:rsidRPr="00E713B5">
              <w:rPr>
                <w:vertAlign w:val="subscript"/>
              </w:rPr>
              <w:t>i</w:t>
            </w:r>
            <w:proofErr w:type="spellEnd"/>
          </w:p>
        </w:tc>
        <w:tc>
          <w:tcPr>
            <w:tcW w:w="333" w:type="dxa"/>
          </w:tcPr>
          <w:p w:rsidR="00E713B5" w:rsidRDefault="00E713B5" w:rsidP="00161BF1">
            <w:pPr>
              <w:widowControl w:val="0"/>
              <w:autoSpaceDE w:val="0"/>
              <w:autoSpaceDN w:val="0"/>
              <w:adjustRightInd w:val="0"/>
              <w:ind w:left="-99" w:right="-114"/>
              <w:jc w:val="center"/>
            </w:pPr>
            <w:r>
              <w:t>=</w:t>
            </w:r>
          </w:p>
        </w:tc>
        <w:tc>
          <w:tcPr>
            <w:tcW w:w="5175" w:type="dxa"/>
          </w:tcPr>
          <w:p w:rsidR="00E713B5" w:rsidRPr="00E713B5" w:rsidRDefault="00E713B5" w:rsidP="00161BF1">
            <w:pPr>
              <w:widowControl w:val="0"/>
              <w:autoSpaceDE w:val="0"/>
              <w:autoSpaceDN w:val="0"/>
              <w:adjustRightInd w:val="0"/>
              <w:ind w:left="-57"/>
            </w:pPr>
            <w:r>
              <w:t xml:space="preserve">age of solid waste in the </w:t>
            </w:r>
            <w:proofErr w:type="spellStart"/>
            <w:r>
              <w:t>i</w:t>
            </w:r>
            <w:r w:rsidRPr="00E713B5">
              <w:rPr>
                <w:vertAlign w:val="superscript"/>
              </w:rPr>
              <w:t>th</w:t>
            </w:r>
            <w:proofErr w:type="spellEnd"/>
            <w:r>
              <w:t xml:space="preserve"> section, years</w:t>
            </w:r>
          </w:p>
        </w:tc>
      </w:tr>
      <w:tr w:rsidR="00E713B5">
        <w:tblPrEx>
          <w:tblCellMar>
            <w:top w:w="0" w:type="dxa"/>
            <w:bottom w:w="0" w:type="dxa"/>
          </w:tblCellMar>
        </w:tblPrEx>
        <w:tc>
          <w:tcPr>
            <w:tcW w:w="1110" w:type="dxa"/>
          </w:tcPr>
          <w:p w:rsidR="00E713B5" w:rsidRDefault="00E713B5" w:rsidP="00161BF1">
            <w:pPr>
              <w:widowControl w:val="0"/>
              <w:autoSpaceDE w:val="0"/>
              <w:autoSpaceDN w:val="0"/>
              <w:adjustRightInd w:val="0"/>
              <w:ind w:right="-117"/>
            </w:pPr>
            <w:r>
              <w:t>C</w:t>
            </w:r>
            <w:r w:rsidRPr="00E713B5">
              <w:rPr>
                <w:vertAlign w:val="subscript"/>
              </w:rPr>
              <w:t>NMOC</w:t>
            </w:r>
          </w:p>
        </w:tc>
        <w:tc>
          <w:tcPr>
            <w:tcW w:w="333" w:type="dxa"/>
          </w:tcPr>
          <w:p w:rsidR="00E713B5" w:rsidRDefault="00E713B5" w:rsidP="00161BF1">
            <w:pPr>
              <w:widowControl w:val="0"/>
              <w:autoSpaceDE w:val="0"/>
              <w:autoSpaceDN w:val="0"/>
              <w:adjustRightInd w:val="0"/>
              <w:ind w:left="-99" w:right="-114"/>
              <w:jc w:val="center"/>
            </w:pPr>
            <w:r>
              <w:t>=</w:t>
            </w:r>
          </w:p>
        </w:tc>
        <w:tc>
          <w:tcPr>
            <w:tcW w:w="5175" w:type="dxa"/>
          </w:tcPr>
          <w:p w:rsidR="00E713B5" w:rsidRDefault="00E713B5" w:rsidP="00161BF1">
            <w:pPr>
              <w:widowControl w:val="0"/>
              <w:autoSpaceDE w:val="0"/>
              <w:autoSpaceDN w:val="0"/>
              <w:adjustRightInd w:val="0"/>
              <w:ind w:left="-57"/>
            </w:pPr>
            <w:r>
              <w:t xml:space="preserve">concentration of NMOC, </w:t>
            </w:r>
            <w:proofErr w:type="spellStart"/>
            <w:r>
              <w:t>ppmv</w:t>
            </w:r>
            <w:proofErr w:type="spellEnd"/>
            <w:r>
              <w:t xml:space="preserve"> as hexane</w:t>
            </w:r>
          </w:p>
        </w:tc>
      </w:tr>
      <w:tr w:rsidR="00E713B5">
        <w:tblPrEx>
          <w:tblCellMar>
            <w:top w:w="0" w:type="dxa"/>
            <w:bottom w:w="0" w:type="dxa"/>
          </w:tblCellMar>
        </w:tblPrEx>
        <w:tc>
          <w:tcPr>
            <w:tcW w:w="1110" w:type="dxa"/>
          </w:tcPr>
          <w:p w:rsidR="00E713B5" w:rsidRDefault="00E57EFF" w:rsidP="00161BF1">
            <w:pPr>
              <w:widowControl w:val="0"/>
              <w:autoSpaceDE w:val="0"/>
              <w:autoSpaceDN w:val="0"/>
              <w:adjustRightInd w:val="0"/>
              <w:ind w:right="-117"/>
            </w:pPr>
            <w:r>
              <w:t>3</w:t>
            </w:r>
            <w:r w:rsidR="00E713B5">
              <w:t>.6 x 10</w:t>
            </w:r>
            <w:r w:rsidR="00E713B5" w:rsidRPr="00E713B5">
              <w:rPr>
                <w:vertAlign w:val="superscript"/>
              </w:rPr>
              <w:t>-9</w:t>
            </w:r>
          </w:p>
        </w:tc>
        <w:tc>
          <w:tcPr>
            <w:tcW w:w="333" w:type="dxa"/>
          </w:tcPr>
          <w:p w:rsidR="00E713B5" w:rsidRDefault="00E713B5" w:rsidP="00161BF1">
            <w:pPr>
              <w:widowControl w:val="0"/>
              <w:autoSpaceDE w:val="0"/>
              <w:autoSpaceDN w:val="0"/>
              <w:adjustRightInd w:val="0"/>
              <w:ind w:left="-99" w:right="-114"/>
              <w:jc w:val="center"/>
            </w:pPr>
            <w:r>
              <w:t>=</w:t>
            </w:r>
          </w:p>
        </w:tc>
        <w:tc>
          <w:tcPr>
            <w:tcW w:w="5175" w:type="dxa"/>
          </w:tcPr>
          <w:p w:rsidR="00E713B5" w:rsidRDefault="00E713B5" w:rsidP="00161BF1">
            <w:pPr>
              <w:widowControl w:val="0"/>
              <w:autoSpaceDE w:val="0"/>
              <w:autoSpaceDN w:val="0"/>
              <w:adjustRightInd w:val="0"/>
              <w:ind w:left="-57"/>
            </w:pPr>
            <w:r>
              <w:t>conversion factor</w:t>
            </w:r>
          </w:p>
        </w:tc>
      </w:tr>
    </w:tbl>
    <w:p w:rsidR="00E713B5" w:rsidRDefault="00E713B5" w:rsidP="00B02244">
      <w:pPr>
        <w:widowControl w:val="0"/>
        <w:autoSpaceDE w:val="0"/>
        <w:autoSpaceDN w:val="0"/>
        <w:adjustRightInd w:val="0"/>
        <w:ind w:left="2880" w:hanging="720"/>
      </w:pPr>
    </w:p>
    <w:p w:rsidR="00B02244" w:rsidRDefault="00B02244" w:rsidP="00B02244">
      <w:pPr>
        <w:widowControl w:val="0"/>
        <w:autoSpaceDE w:val="0"/>
        <w:autoSpaceDN w:val="0"/>
        <w:adjustRightInd w:val="0"/>
        <w:ind w:left="2880" w:hanging="720"/>
      </w:pPr>
      <w:r>
        <w:tab/>
        <w:t xml:space="preserve">The mass of </w:t>
      </w:r>
      <w:proofErr w:type="spellStart"/>
      <w:r>
        <w:t>nondegradable</w:t>
      </w:r>
      <w:proofErr w:type="spellEnd"/>
      <w:r>
        <w:t xml:space="preserve"> solid waste may be subtracted from the total mass of solid waste in a particular section of the landfill when calculating the value for M</w:t>
      </w:r>
      <w:r w:rsidRPr="008815BA">
        <w:rPr>
          <w:vertAlign w:val="superscript"/>
        </w:rPr>
        <w:t>i</w:t>
      </w:r>
      <w:r>
        <w:t xml:space="preserve"> if documentation of the nature and amount of such wastes is maintained. </w:t>
      </w:r>
    </w:p>
    <w:p w:rsidR="00E57EFF" w:rsidRDefault="00E57EFF" w:rsidP="00B02244">
      <w:pPr>
        <w:widowControl w:val="0"/>
        <w:autoSpaceDE w:val="0"/>
        <w:autoSpaceDN w:val="0"/>
        <w:adjustRightInd w:val="0"/>
        <w:ind w:left="2880" w:hanging="720"/>
      </w:pPr>
    </w:p>
    <w:p w:rsidR="00B02244" w:rsidRDefault="00B02244" w:rsidP="00B02244">
      <w:pPr>
        <w:widowControl w:val="0"/>
        <w:autoSpaceDE w:val="0"/>
        <w:autoSpaceDN w:val="0"/>
        <w:adjustRightInd w:val="0"/>
        <w:ind w:left="2880" w:hanging="720"/>
      </w:pPr>
      <w:r>
        <w:t>B)</w:t>
      </w:r>
      <w:r>
        <w:tab/>
        <w:t xml:space="preserve">The following equation shall be used if the actual year-to-year solid waste acceptance rate is unknown: </w:t>
      </w:r>
    </w:p>
    <w:p w:rsidR="00B02244" w:rsidRDefault="00B02244" w:rsidP="00B02244">
      <w:pPr>
        <w:widowControl w:val="0"/>
        <w:autoSpaceDE w:val="0"/>
        <w:autoSpaceDN w:val="0"/>
        <w:adjustRightInd w:val="0"/>
        <w:ind w:left="2880" w:hanging="720"/>
      </w:pPr>
    </w:p>
    <w:p w:rsidR="00B02244" w:rsidRDefault="00B02244" w:rsidP="00B02244">
      <w:pPr>
        <w:widowControl w:val="0"/>
        <w:autoSpaceDE w:val="0"/>
        <w:autoSpaceDN w:val="0"/>
        <w:adjustRightInd w:val="0"/>
        <w:ind w:left="2880" w:hanging="720"/>
      </w:pPr>
      <w:r>
        <w:tab/>
        <w:t>M</w:t>
      </w:r>
      <w:r w:rsidRPr="00E57EFF">
        <w:rPr>
          <w:vertAlign w:val="subscript"/>
        </w:rPr>
        <w:t>NMOC</w:t>
      </w:r>
      <w:r>
        <w:t xml:space="preserve"> = 2L</w:t>
      </w:r>
      <w:r w:rsidRPr="00E57EFF">
        <w:rPr>
          <w:vertAlign w:val="subscript"/>
        </w:rPr>
        <w:t>o</w:t>
      </w:r>
      <w:r w:rsidR="008815BA">
        <w:t>R(e</w:t>
      </w:r>
      <w:r w:rsidRPr="008815BA">
        <w:rPr>
          <w:vertAlign w:val="superscript"/>
        </w:rPr>
        <w:t>-</w:t>
      </w:r>
      <w:proofErr w:type="spellStart"/>
      <w:r w:rsidRPr="008815BA">
        <w:rPr>
          <w:vertAlign w:val="superscript"/>
        </w:rPr>
        <w:t>kc</w:t>
      </w:r>
      <w:proofErr w:type="spellEnd"/>
      <w:r w:rsidR="008815BA">
        <w:t xml:space="preserve"> - e(</w:t>
      </w:r>
      <w:r w:rsidR="008815BA" w:rsidRPr="00E713B5">
        <w:rPr>
          <w:vertAlign w:val="superscript"/>
        </w:rPr>
        <w:t>-</w:t>
      </w:r>
      <w:proofErr w:type="spellStart"/>
      <w:r w:rsidR="008815BA" w:rsidRPr="00E713B5">
        <w:rPr>
          <w:vertAlign w:val="superscript"/>
        </w:rPr>
        <w:t>kt</w:t>
      </w:r>
      <w:proofErr w:type="spellEnd"/>
      <w:r w:rsidR="008815BA">
        <w:t>))(C</w:t>
      </w:r>
      <w:r w:rsidRPr="00E57EFF">
        <w:rPr>
          <w:vertAlign w:val="subscript"/>
        </w:rPr>
        <w:t>NMOC</w:t>
      </w:r>
      <w:r>
        <w:t>)(3.6 x 10</w:t>
      </w:r>
      <w:r w:rsidRPr="008815BA">
        <w:rPr>
          <w:vertAlign w:val="superscript"/>
        </w:rPr>
        <w:t>-9</w:t>
      </w:r>
      <w:r>
        <w:t xml:space="preserve">) </w:t>
      </w:r>
    </w:p>
    <w:p w:rsidR="00B02244" w:rsidRDefault="00B02244" w:rsidP="00B02244">
      <w:pPr>
        <w:widowControl w:val="0"/>
        <w:autoSpaceDE w:val="0"/>
        <w:autoSpaceDN w:val="0"/>
        <w:adjustRightInd w:val="0"/>
        <w:ind w:left="2880" w:hanging="720"/>
      </w:pPr>
    </w:p>
    <w:p w:rsidR="00B02244" w:rsidRDefault="00B02244" w:rsidP="00B02244">
      <w:pPr>
        <w:widowControl w:val="0"/>
        <w:autoSpaceDE w:val="0"/>
        <w:autoSpaceDN w:val="0"/>
        <w:adjustRightInd w:val="0"/>
        <w:ind w:left="2880" w:hanging="720"/>
      </w:pPr>
      <w:r>
        <w:tab/>
        <w:t xml:space="preserve">where: </w:t>
      </w:r>
    </w:p>
    <w:p w:rsidR="00B02244" w:rsidRDefault="00B02244" w:rsidP="00B02244">
      <w:pPr>
        <w:widowControl w:val="0"/>
        <w:autoSpaceDE w:val="0"/>
        <w:autoSpaceDN w:val="0"/>
        <w:adjustRightInd w:val="0"/>
        <w:ind w:left="2880" w:hanging="720"/>
      </w:pPr>
    </w:p>
    <w:tbl>
      <w:tblPr>
        <w:tblW w:w="6678" w:type="dxa"/>
        <w:tblInd w:w="2898" w:type="dxa"/>
        <w:tblLook w:val="0000" w:firstRow="0" w:lastRow="0" w:firstColumn="0" w:lastColumn="0" w:noHBand="0" w:noVBand="0"/>
      </w:tblPr>
      <w:tblGrid>
        <w:gridCol w:w="1098"/>
        <w:gridCol w:w="324"/>
        <w:gridCol w:w="5256"/>
      </w:tblGrid>
      <w:tr w:rsidR="00E4553D">
        <w:tblPrEx>
          <w:tblCellMar>
            <w:top w:w="0" w:type="dxa"/>
            <w:bottom w:w="0" w:type="dxa"/>
          </w:tblCellMar>
        </w:tblPrEx>
        <w:tc>
          <w:tcPr>
            <w:tcW w:w="1098" w:type="dxa"/>
          </w:tcPr>
          <w:p w:rsidR="00BC3A3E" w:rsidRDefault="00BC3A3E" w:rsidP="00161BF1">
            <w:pPr>
              <w:widowControl w:val="0"/>
              <w:autoSpaceDE w:val="0"/>
              <w:autoSpaceDN w:val="0"/>
              <w:adjustRightInd w:val="0"/>
              <w:ind w:right="-105"/>
            </w:pPr>
            <w:r>
              <w:t>M</w:t>
            </w:r>
            <w:r w:rsidRPr="00BC3A3E">
              <w:rPr>
                <w:vertAlign w:val="subscript"/>
              </w:rPr>
              <w:t>NMOC</w:t>
            </w:r>
          </w:p>
        </w:tc>
        <w:tc>
          <w:tcPr>
            <w:tcW w:w="324" w:type="dxa"/>
          </w:tcPr>
          <w:p w:rsidR="00BC3A3E" w:rsidRDefault="00BC3A3E" w:rsidP="00161BF1">
            <w:pPr>
              <w:widowControl w:val="0"/>
              <w:autoSpaceDE w:val="0"/>
              <w:autoSpaceDN w:val="0"/>
              <w:adjustRightInd w:val="0"/>
              <w:ind w:left="-111" w:right="-111"/>
              <w:jc w:val="center"/>
            </w:pPr>
            <w:r>
              <w:t>=</w:t>
            </w:r>
          </w:p>
        </w:tc>
        <w:tc>
          <w:tcPr>
            <w:tcW w:w="5256" w:type="dxa"/>
          </w:tcPr>
          <w:p w:rsidR="00BC3A3E" w:rsidRDefault="00BC3A3E" w:rsidP="00161BF1">
            <w:pPr>
              <w:widowControl w:val="0"/>
              <w:autoSpaceDE w:val="0"/>
              <w:autoSpaceDN w:val="0"/>
              <w:adjustRightInd w:val="0"/>
              <w:ind w:left="-60"/>
            </w:pPr>
            <w:r>
              <w:t>Total NMOC emission rate from the landfill, Mg/yr</w:t>
            </w:r>
          </w:p>
        </w:tc>
      </w:tr>
      <w:tr w:rsidR="00E4553D">
        <w:tblPrEx>
          <w:tblCellMar>
            <w:top w:w="0" w:type="dxa"/>
            <w:bottom w:w="0" w:type="dxa"/>
          </w:tblCellMar>
        </w:tblPrEx>
        <w:tc>
          <w:tcPr>
            <w:tcW w:w="1098" w:type="dxa"/>
          </w:tcPr>
          <w:p w:rsidR="00BC3A3E" w:rsidRDefault="00BC3A3E" w:rsidP="00161BF1">
            <w:pPr>
              <w:widowControl w:val="0"/>
              <w:autoSpaceDE w:val="0"/>
              <w:autoSpaceDN w:val="0"/>
              <w:adjustRightInd w:val="0"/>
              <w:ind w:right="-105"/>
            </w:pPr>
            <w:r>
              <w:t>L</w:t>
            </w:r>
            <w:r w:rsidRPr="00BC3A3E">
              <w:rPr>
                <w:vertAlign w:val="subscript"/>
              </w:rPr>
              <w:t>o</w:t>
            </w:r>
          </w:p>
        </w:tc>
        <w:tc>
          <w:tcPr>
            <w:tcW w:w="324" w:type="dxa"/>
          </w:tcPr>
          <w:p w:rsidR="00BC3A3E" w:rsidRDefault="00BC3A3E" w:rsidP="00161BF1">
            <w:pPr>
              <w:widowControl w:val="0"/>
              <w:autoSpaceDE w:val="0"/>
              <w:autoSpaceDN w:val="0"/>
              <w:adjustRightInd w:val="0"/>
              <w:ind w:left="-111" w:right="-111"/>
              <w:jc w:val="center"/>
            </w:pPr>
            <w:r>
              <w:t>=</w:t>
            </w:r>
          </w:p>
        </w:tc>
        <w:tc>
          <w:tcPr>
            <w:tcW w:w="5256" w:type="dxa"/>
          </w:tcPr>
          <w:p w:rsidR="00BC3A3E" w:rsidRPr="00BC3A3E" w:rsidRDefault="00BC3A3E" w:rsidP="00161BF1">
            <w:pPr>
              <w:widowControl w:val="0"/>
              <w:autoSpaceDE w:val="0"/>
              <w:autoSpaceDN w:val="0"/>
              <w:adjustRightInd w:val="0"/>
              <w:ind w:left="-60"/>
            </w:pPr>
            <w:r>
              <w:t>methane generation potential, m</w:t>
            </w:r>
            <w:r w:rsidRPr="00BC3A3E">
              <w:rPr>
                <w:vertAlign w:val="superscript"/>
              </w:rPr>
              <w:t>3</w:t>
            </w:r>
            <w:r>
              <w:t xml:space="preserve"> per Mg solid waste</w:t>
            </w:r>
          </w:p>
        </w:tc>
      </w:tr>
      <w:tr w:rsidR="00E4553D">
        <w:tblPrEx>
          <w:tblCellMar>
            <w:top w:w="0" w:type="dxa"/>
            <w:bottom w:w="0" w:type="dxa"/>
          </w:tblCellMar>
        </w:tblPrEx>
        <w:tc>
          <w:tcPr>
            <w:tcW w:w="1098" w:type="dxa"/>
          </w:tcPr>
          <w:p w:rsidR="00BC3A3E" w:rsidRDefault="00E57EFF" w:rsidP="00161BF1">
            <w:pPr>
              <w:widowControl w:val="0"/>
              <w:autoSpaceDE w:val="0"/>
              <w:autoSpaceDN w:val="0"/>
              <w:adjustRightInd w:val="0"/>
              <w:ind w:right="-105"/>
            </w:pPr>
            <w:r>
              <w:t>R</w:t>
            </w:r>
          </w:p>
        </w:tc>
        <w:tc>
          <w:tcPr>
            <w:tcW w:w="324" w:type="dxa"/>
          </w:tcPr>
          <w:p w:rsidR="00BC3A3E" w:rsidRDefault="00BC3A3E" w:rsidP="00161BF1">
            <w:pPr>
              <w:widowControl w:val="0"/>
              <w:autoSpaceDE w:val="0"/>
              <w:autoSpaceDN w:val="0"/>
              <w:adjustRightInd w:val="0"/>
              <w:ind w:left="-111" w:right="-111"/>
              <w:jc w:val="center"/>
            </w:pPr>
            <w:r>
              <w:t>=</w:t>
            </w:r>
          </w:p>
        </w:tc>
        <w:tc>
          <w:tcPr>
            <w:tcW w:w="5256" w:type="dxa"/>
          </w:tcPr>
          <w:p w:rsidR="00BC3A3E" w:rsidRDefault="00E57EFF" w:rsidP="00161BF1">
            <w:pPr>
              <w:widowControl w:val="0"/>
              <w:autoSpaceDE w:val="0"/>
              <w:autoSpaceDN w:val="0"/>
              <w:adjustRightInd w:val="0"/>
              <w:ind w:left="-60"/>
            </w:pPr>
            <w:r>
              <w:t>average annual acceptance rate, Mg/yr</w:t>
            </w:r>
          </w:p>
        </w:tc>
      </w:tr>
      <w:tr w:rsidR="00E4553D">
        <w:tblPrEx>
          <w:tblCellMar>
            <w:top w:w="0" w:type="dxa"/>
            <w:bottom w:w="0" w:type="dxa"/>
          </w:tblCellMar>
        </w:tblPrEx>
        <w:tc>
          <w:tcPr>
            <w:tcW w:w="1098" w:type="dxa"/>
          </w:tcPr>
          <w:p w:rsidR="00BC3A3E" w:rsidRDefault="00E57EFF" w:rsidP="00161BF1">
            <w:pPr>
              <w:widowControl w:val="0"/>
              <w:autoSpaceDE w:val="0"/>
              <w:autoSpaceDN w:val="0"/>
              <w:adjustRightInd w:val="0"/>
              <w:ind w:right="-105"/>
            </w:pPr>
            <w:r>
              <w:t>k</w:t>
            </w:r>
          </w:p>
        </w:tc>
        <w:tc>
          <w:tcPr>
            <w:tcW w:w="324" w:type="dxa"/>
          </w:tcPr>
          <w:p w:rsidR="00BC3A3E" w:rsidRDefault="00BC3A3E" w:rsidP="00161BF1">
            <w:pPr>
              <w:widowControl w:val="0"/>
              <w:autoSpaceDE w:val="0"/>
              <w:autoSpaceDN w:val="0"/>
              <w:adjustRightInd w:val="0"/>
              <w:ind w:left="-111" w:right="-111"/>
              <w:jc w:val="center"/>
            </w:pPr>
            <w:r>
              <w:t>=</w:t>
            </w:r>
          </w:p>
        </w:tc>
        <w:tc>
          <w:tcPr>
            <w:tcW w:w="5256" w:type="dxa"/>
          </w:tcPr>
          <w:p w:rsidR="00BC3A3E" w:rsidRDefault="00E57EFF" w:rsidP="00161BF1">
            <w:pPr>
              <w:widowControl w:val="0"/>
              <w:autoSpaceDE w:val="0"/>
              <w:autoSpaceDN w:val="0"/>
              <w:adjustRightInd w:val="0"/>
              <w:ind w:left="-60"/>
            </w:pPr>
            <w:r>
              <w:t>methane generation rate constant, year</w:t>
            </w:r>
            <w:r w:rsidRPr="00E57EFF">
              <w:rPr>
                <w:vertAlign w:val="superscript"/>
              </w:rPr>
              <w:t>-1</w:t>
            </w:r>
          </w:p>
        </w:tc>
      </w:tr>
      <w:tr w:rsidR="00E57EFF">
        <w:tblPrEx>
          <w:tblCellMar>
            <w:top w:w="0" w:type="dxa"/>
            <w:bottom w:w="0" w:type="dxa"/>
          </w:tblCellMar>
        </w:tblPrEx>
        <w:tc>
          <w:tcPr>
            <w:tcW w:w="1098" w:type="dxa"/>
          </w:tcPr>
          <w:p w:rsidR="00E57EFF" w:rsidRDefault="00E57EFF" w:rsidP="00161BF1">
            <w:pPr>
              <w:widowControl w:val="0"/>
              <w:autoSpaceDE w:val="0"/>
              <w:autoSpaceDN w:val="0"/>
              <w:adjustRightInd w:val="0"/>
              <w:ind w:right="-105"/>
            </w:pPr>
            <w:r>
              <w:t>t</w:t>
            </w:r>
          </w:p>
        </w:tc>
        <w:tc>
          <w:tcPr>
            <w:tcW w:w="324" w:type="dxa"/>
          </w:tcPr>
          <w:p w:rsidR="00E57EFF" w:rsidRDefault="00E57EFF" w:rsidP="00161BF1">
            <w:pPr>
              <w:widowControl w:val="0"/>
              <w:autoSpaceDE w:val="0"/>
              <w:autoSpaceDN w:val="0"/>
              <w:adjustRightInd w:val="0"/>
              <w:ind w:left="-111" w:right="-111"/>
              <w:jc w:val="center"/>
            </w:pPr>
            <w:r>
              <w:t>=</w:t>
            </w:r>
          </w:p>
        </w:tc>
        <w:tc>
          <w:tcPr>
            <w:tcW w:w="5256" w:type="dxa"/>
          </w:tcPr>
          <w:p w:rsidR="00E57EFF" w:rsidRDefault="00E57EFF" w:rsidP="00161BF1">
            <w:pPr>
              <w:widowControl w:val="0"/>
              <w:autoSpaceDE w:val="0"/>
              <w:autoSpaceDN w:val="0"/>
              <w:adjustRightInd w:val="0"/>
              <w:ind w:left="-60"/>
            </w:pPr>
            <w:r>
              <w:t>age of landfill, years</w:t>
            </w:r>
          </w:p>
        </w:tc>
      </w:tr>
      <w:tr w:rsidR="00E4553D">
        <w:tblPrEx>
          <w:tblCellMar>
            <w:top w:w="0" w:type="dxa"/>
            <w:bottom w:w="0" w:type="dxa"/>
          </w:tblCellMar>
        </w:tblPrEx>
        <w:tc>
          <w:tcPr>
            <w:tcW w:w="1098" w:type="dxa"/>
          </w:tcPr>
          <w:p w:rsidR="00BC3A3E" w:rsidRDefault="00BC3A3E" w:rsidP="00161BF1">
            <w:pPr>
              <w:widowControl w:val="0"/>
              <w:autoSpaceDE w:val="0"/>
              <w:autoSpaceDN w:val="0"/>
              <w:adjustRightInd w:val="0"/>
              <w:ind w:right="-105"/>
            </w:pPr>
            <w:r>
              <w:t>C</w:t>
            </w:r>
            <w:r w:rsidRPr="00BC3A3E">
              <w:rPr>
                <w:vertAlign w:val="subscript"/>
              </w:rPr>
              <w:t>NMOC</w:t>
            </w:r>
          </w:p>
        </w:tc>
        <w:tc>
          <w:tcPr>
            <w:tcW w:w="324" w:type="dxa"/>
          </w:tcPr>
          <w:p w:rsidR="00BC3A3E" w:rsidRDefault="00BC3A3E" w:rsidP="00161BF1">
            <w:pPr>
              <w:widowControl w:val="0"/>
              <w:autoSpaceDE w:val="0"/>
              <w:autoSpaceDN w:val="0"/>
              <w:adjustRightInd w:val="0"/>
              <w:ind w:left="-111" w:right="-111"/>
              <w:jc w:val="center"/>
            </w:pPr>
            <w:r>
              <w:t>=</w:t>
            </w:r>
          </w:p>
        </w:tc>
        <w:tc>
          <w:tcPr>
            <w:tcW w:w="5256" w:type="dxa"/>
          </w:tcPr>
          <w:p w:rsidR="00BC3A3E" w:rsidRDefault="00BC3A3E" w:rsidP="00161BF1">
            <w:pPr>
              <w:widowControl w:val="0"/>
              <w:autoSpaceDE w:val="0"/>
              <w:autoSpaceDN w:val="0"/>
              <w:adjustRightInd w:val="0"/>
              <w:ind w:left="-60"/>
            </w:pPr>
            <w:r>
              <w:t xml:space="preserve">concentration of NMOC, </w:t>
            </w:r>
            <w:proofErr w:type="spellStart"/>
            <w:r>
              <w:t>ppmv</w:t>
            </w:r>
            <w:proofErr w:type="spellEnd"/>
            <w:r>
              <w:t xml:space="preserve"> as hexane conversion factor</w:t>
            </w:r>
          </w:p>
        </w:tc>
      </w:tr>
      <w:tr w:rsidR="00E713B5">
        <w:tblPrEx>
          <w:tblCellMar>
            <w:top w:w="0" w:type="dxa"/>
            <w:bottom w:w="0" w:type="dxa"/>
          </w:tblCellMar>
        </w:tblPrEx>
        <w:tc>
          <w:tcPr>
            <w:tcW w:w="1098" w:type="dxa"/>
          </w:tcPr>
          <w:p w:rsidR="00E713B5" w:rsidRDefault="00E713B5" w:rsidP="00161BF1">
            <w:pPr>
              <w:widowControl w:val="0"/>
              <w:autoSpaceDE w:val="0"/>
              <w:autoSpaceDN w:val="0"/>
              <w:adjustRightInd w:val="0"/>
              <w:ind w:right="-105"/>
            </w:pPr>
            <w:r>
              <w:t>c</w:t>
            </w:r>
          </w:p>
        </w:tc>
        <w:tc>
          <w:tcPr>
            <w:tcW w:w="324" w:type="dxa"/>
          </w:tcPr>
          <w:p w:rsidR="00E713B5" w:rsidRDefault="00E713B5" w:rsidP="00161BF1">
            <w:pPr>
              <w:widowControl w:val="0"/>
              <w:autoSpaceDE w:val="0"/>
              <w:autoSpaceDN w:val="0"/>
              <w:adjustRightInd w:val="0"/>
              <w:ind w:left="-111" w:right="-111"/>
              <w:jc w:val="center"/>
            </w:pPr>
            <w:r>
              <w:t>=</w:t>
            </w:r>
          </w:p>
        </w:tc>
        <w:tc>
          <w:tcPr>
            <w:tcW w:w="5256" w:type="dxa"/>
          </w:tcPr>
          <w:p w:rsidR="00E713B5" w:rsidRPr="00E4553D" w:rsidRDefault="00E4553D" w:rsidP="00161BF1">
            <w:pPr>
              <w:widowControl w:val="0"/>
              <w:autoSpaceDE w:val="0"/>
              <w:autoSpaceDN w:val="0"/>
              <w:adjustRightInd w:val="0"/>
              <w:ind w:left="-60"/>
            </w:pPr>
            <w:r>
              <w:t>time since closure, years (for active landfill c = 0 and e</w:t>
            </w:r>
            <w:r w:rsidRPr="00E4553D">
              <w:rPr>
                <w:vertAlign w:val="superscript"/>
              </w:rPr>
              <w:t>-</w:t>
            </w:r>
            <w:proofErr w:type="spellStart"/>
            <w:r w:rsidRPr="00E4553D">
              <w:rPr>
                <w:vertAlign w:val="superscript"/>
              </w:rPr>
              <w:t>kc</w:t>
            </w:r>
            <w:proofErr w:type="spellEnd"/>
            <w:r>
              <w:t xml:space="preserve"> = 1)</w:t>
            </w:r>
          </w:p>
        </w:tc>
      </w:tr>
      <w:tr w:rsidR="00E713B5">
        <w:tblPrEx>
          <w:tblCellMar>
            <w:top w:w="0" w:type="dxa"/>
            <w:bottom w:w="0" w:type="dxa"/>
          </w:tblCellMar>
        </w:tblPrEx>
        <w:tc>
          <w:tcPr>
            <w:tcW w:w="1098" w:type="dxa"/>
          </w:tcPr>
          <w:p w:rsidR="00E713B5" w:rsidRDefault="00E4553D" w:rsidP="00161BF1">
            <w:pPr>
              <w:widowControl w:val="0"/>
              <w:autoSpaceDE w:val="0"/>
              <w:autoSpaceDN w:val="0"/>
              <w:adjustRightInd w:val="0"/>
              <w:ind w:right="-105"/>
            </w:pPr>
            <w:r>
              <w:t>3.6 x 10</w:t>
            </w:r>
            <w:r w:rsidRPr="00E4553D">
              <w:rPr>
                <w:vertAlign w:val="superscript"/>
              </w:rPr>
              <w:t>-9</w:t>
            </w:r>
          </w:p>
        </w:tc>
        <w:tc>
          <w:tcPr>
            <w:tcW w:w="324" w:type="dxa"/>
          </w:tcPr>
          <w:p w:rsidR="00E713B5" w:rsidRDefault="00E4553D" w:rsidP="00161BF1">
            <w:pPr>
              <w:widowControl w:val="0"/>
              <w:autoSpaceDE w:val="0"/>
              <w:autoSpaceDN w:val="0"/>
              <w:adjustRightInd w:val="0"/>
              <w:ind w:left="-111" w:right="-111"/>
              <w:jc w:val="center"/>
            </w:pPr>
            <w:r>
              <w:t>=</w:t>
            </w:r>
          </w:p>
        </w:tc>
        <w:tc>
          <w:tcPr>
            <w:tcW w:w="5256" w:type="dxa"/>
          </w:tcPr>
          <w:p w:rsidR="00E713B5" w:rsidRDefault="00E4553D" w:rsidP="00161BF1">
            <w:pPr>
              <w:widowControl w:val="0"/>
              <w:autoSpaceDE w:val="0"/>
              <w:autoSpaceDN w:val="0"/>
              <w:adjustRightInd w:val="0"/>
              <w:ind w:left="-60"/>
            </w:pPr>
            <w:r>
              <w:t>conversion factor</w:t>
            </w:r>
          </w:p>
        </w:tc>
      </w:tr>
    </w:tbl>
    <w:p w:rsidR="00B02244" w:rsidRDefault="00B02244" w:rsidP="00B02244">
      <w:pPr>
        <w:widowControl w:val="0"/>
        <w:autoSpaceDE w:val="0"/>
        <w:autoSpaceDN w:val="0"/>
        <w:adjustRightInd w:val="0"/>
        <w:ind w:left="2880" w:hanging="720"/>
      </w:pPr>
    </w:p>
    <w:p w:rsidR="00B02244" w:rsidRDefault="00B02244" w:rsidP="00B02244">
      <w:pPr>
        <w:widowControl w:val="0"/>
        <w:autoSpaceDE w:val="0"/>
        <w:autoSpaceDN w:val="0"/>
        <w:adjustRightInd w:val="0"/>
        <w:ind w:left="2880" w:hanging="720"/>
      </w:pPr>
      <w:r>
        <w:tab/>
        <w:t xml:space="preserve">The mass of </w:t>
      </w:r>
      <w:proofErr w:type="spellStart"/>
      <w:r>
        <w:t>nondegradable</w:t>
      </w:r>
      <w:proofErr w:type="spellEnd"/>
      <w:r>
        <w:t xml:space="preserve"> solid waste may be subtracted from the average annual acceptance rate when calculating a value for R, if documentation of the nature and amount of such wastes is maintained. </w:t>
      </w:r>
    </w:p>
    <w:p w:rsidR="00E57EFF" w:rsidRDefault="00E57EFF" w:rsidP="00B02244">
      <w:pPr>
        <w:widowControl w:val="0"/>
        <w:autoSpaceDE w:val="0"/>
        <w:autoSpaceDN w:val="0"/>
        <w:adjustRightInd w:val="0"/>
        <w:ind w:left="2880" w:hanging="720"/>
      </w:pPr>
    </w:p>
    <w:p w:rsidR="00B02244" w:rsidRDefault="00B02244" w:rsidP="00B02244">
      <w:pPr>
        <w:widowControl w:val="0"/>
        <w:autoSpaceDE w:val="0"/>
        <w:autoSpaceDN w:val="0"/>
        <w:adjustRightInd w:val="0"/>
        <w:ind w:left="2160" w:hanging="720"/>
      </w:pPr>
      <w:r>
        <w:t>2)</w:t>
      </w:r>
      <w:r>
        <w:tab/>
        <w:t xml:space="preserve">Tier 1.  The landfill owner or operator shall calculate the NMOC mass emission rate using the equations provided in subsection (a)(1)(A) or (a)(1)(B) of this Section. The owner or operator shall compare the calculated NMOC mass emission rate to the standard of 50 Mg/yr using the default values for the NMOC mass emission rate and the methane generation rate constant. </w:t>
      </w:r>
    </w:p>
    <w:p w:rsidR="008309C9" w:rsidRDefault="008309C9" w:rsidP="00161BF1">
      <w:pPr>
        <w:widowControl w:val="0"/>
        <w:autoSpaceDE w:val="0"/>
        <w:autoSpaceDN w:val="0"/>
        <w:adjustRightInd w:val="0"/>
        <w:ind w:left="2160" w:hanging="720"/>
      </w:pPr>
    </w:p>
    <w:p w:rsidR="00B02244" w:rsidRDefault="00B02244" w:rsidP="00161BF1">
      <w:pPr>
        <w:widowControl w:val="0"/>
        <w:autoSpaceDE w:val="0"/>
        <w:autoSpaceDN w:val="0"/>
        <w:adjustRightInd w:val="0"/>
        <w:ind w:left="2160" w:hanging="720"/>
      </w:pPr>
      <w:r>
        <w:t>3)</w:t>
      </w:r>
      <w:r>
        <w:tab/>
        <w:t xml:space="preserve">Tier 2.  The landfill owner or operator shall calculate the NMOC mass emission rate using the equations provided in subsection (a)(1)(A) or (a)(1)(B) of this Section using the average NMOC concentration from the collected samples instead of the default value in the equations provided in subsection (a)(1) of this Section. The landfill owner or operator shall determine the NMOC concentration using the following sampling procedure: </w:t>
      </w:r>
      <w:r w:rsidR="00161BF1">
        <w:t xml:space="preserve"> </w:t>
      </w:r>
      <w:r>
        <w:t xml:space="preserve">The landfill owner or operator shall install at least 2 sample probes per hectare of landfill surface that has retained waste for at least 2 years.  If the landfill is larger than 25 hectares in area, only 50 samples are required. The sample probes should be located to avoid known areas of </w:t>
      </w:r>
      <w:proofErr w:type="spellStart"/>
      <w:r>
        <w:t>nondegradable</w:t>
      </w:r>
      <w:proofErr w:type="spellEnd"/>
      <w:r>
        <w:t xml:space="preserve"> solid waste.  The owner or operator shall collect and analyze one sample of landfill gas from each probe to determine the NMOC concentration using Method 25C or Method 18 of Appendix A, 40 CFR 60, incorporated by reference in Section 220.130 of this Part.  If using Method 18, the minimum list of compounds to be tested shall be those published in the Compilation of Air Pollutant Emission Factors (AP-42), incorporated by reference in Section 220.130 of this Part.  If composite sampling is used, equal volumes shall be taken from each sample probe.  If more than the required number of samples are taken, all samples shall be used in the analysis.  Divide the NMOC concentration from Method 25C by 6 to convert from C</w:t>
      </w:r>
      <w:r w:rsidRPr="0033213F">
        <w:rPr>
          <w:vertAlign w:val="subscript"/>
        </w:rPr>
        <w:t>NMOC</w:t>
      </w:r>
      <w:r>
        <w:t xml:space="preserve"> as c</w:t>
      </w:r>
      <w:r w:rsidR="008815BA">
        <w:t>arbon to C</w:t>
      </w:r>
      <w:r w:rsidRPr="0033213F">
        <w:rPr>
          <w:vertAlign w:val="subscript"/>
        </w:rPr>
        <w:t>NMOC</w:t>
      </w:r>
      <w:r>
        <w:t xml:space="preserve"> as hexane.  The owner or operator shall retest the site-specific NMOC concentration every 5 years using the methods specified in this Section. </w:t>
      </w:r>
    </w:p>
    <w:p w:rsidR="00161BF1" w:rsidRDefault="00161BF1" w:rsidP="00B02244">
      <w:pPr>
        <w:widowControl w:val="0"/>
        <w:autoSpaceDE w:val="0"/>
        <w:autoSpaceDN w:val="0"/>
        <w:adjustRightInd w:val="0"/>
        <w:ind w:left="2160" w:hanging="720"/>
      </w:pPr>
    </w:p>
    <w:p w:rsidR="00B02244" w:rsidRDefault="00B02244" w:rsidP="00B02244">
      <w:pPr>
        <w:widowControl w:val="0"/>
        <w:autoSpaceDE w:val="0"/>
        <w:autoSpaceDN w:val="0"/>
        <w:adjustRightInd w:val="0"/>
        <w:ind w:left="2160" w:hanging="720"/>
      </w:pPr>
      <w:r>
        <w:t>4)</w:t>
      </w:r>
      <w:r>
        <w:tab/>
        <w:t xml:space="preserve">Tier 3.  The landfill owner or operator shall estimate the NMOC mass emission rate using equations in subsection (a)(1)(A) or (a)(1)(B) of this Section and using a site-specific methane generation rate constant k, and the site-specific NMOC concentration as determined in subsection (a)(3) of this Section instead of the default values provided in subsection (a)(1) of this Section.  The site-specific methane generation rate constant shall be determined using the procedures provided in Method 2E, Appendix A, 40 CFR 60, incorporated by reference in Section 220.130 of this Part.  The calculation of the methane generation rate constant is performed only once, and the value obtained is used in all subsequent annual NMOC emission rate calculations.  In addition, pursuant to subsection (a)(3) of this Section, the owner or operator shall retest the site-specific NMOC concentration every 5 years using the methods specified in that subsection. </w:t>
      </w:r>
    </w:p>
    <w:p w:rsidR="008309C9" w:rsidRDefault="008309C9" w:rsidP="00B02244">
      <w:pPr>
        <w:widowControl w:val="0"/>
        <w:autoSpaceDE w:val="0"/>
        <w:autoSpaceDN w:val="0"/>
        <w:adjustRightInd w:val="0"/>
        <w:ind w:left="1440" w:hanging="720"/>
      </w:pPr>
    </w:p>
    <w:p w:rsidR="00B02244" w:rsidRDefault="00B02244" w:rsidP="00B02244">
      <w:pPr>
        <w:widowControl w:val="0"/>
        <w:autoSpaceDE w:val="0"/>
        <w:autoSpaceDN w:val="0"/>
        <w:adjustRightInd w:val="0"/>
        <w:ind w:left="1440" w:hanging="720"/>
      </w:pPr>
      <w:r>
        <w:t>b)</w:t>
      </w:r>
      <w:r>
        <w:tab/>
        <w:t xml:space="preserve">After the installation of a collection and control system in compliance with Sections 220.220 and 220.230 of this Subpart, the owner or operator shall calculate the NMOC emission rate for purposes of determining when the system can be removed as provided in Section 220.250(h) of this Subpart, using the following equation: </w:t>
      </w:r>
    </w:p>
    <w:p w:rsidR="00B02244" w:rsidRDefault="00B02244" w:rsidP="00B02244">
      <w:pPr>
        <w:widowControl w:val="0"/>
        <w:autoSpaceDE w:val="0"/>
        <w:autoSpaceDN w:val="0"/>
        <w:adjustRightInd w:val="0"/>
        <w:ind w:left="1440" w:hanging="720"/>
      </w:pPr>
    </w:p>
    <w:p w:rsidR="00B02244" w:rsidRDefault="008815BA" w:rsidP="00B02244">
      <w:pPr>
        <w:widowControl w:val="0"/>
        <w:autoSpaceDE w:val="0"/>
        <w:autoSpaceDN w:val="0"/>
        <w:adjustRightInd w:val="0"/>
        <w:ind w:left="1440" w:hanging="720"/>
      </w:pPr>
      <w:r>
        <w:tab/>
        <w:t>M</w:t>
      </w:r>
      <w:r w:rsidR="00B02244" w:rsidRPr="0033213F">
        <w:rPr>
          <w:vertAlign w:val="subscript"/>
        </w:rPr>
        <w:t>NMOC</w:t>
      </w:r>
      <w:r>
        <w:t xml:space="preserve"> = 1.89 x 10</w:t>
      </w:r>
      <w:r w:rsidR="00B02244" w:rsidRPr="008815BA">
        <w:rPr>
          <w:vertAlign w:val="superscript"/>
        </w:rPr>
        <w:t>-3</w:t>
      </w:r>
      <w:r>
        <w:t xml:space="preserve"> Q</w:t>
      </w:r>
      <w:r w:rsidR="00B02244" w:rsidRPr="00FD63D4">
        <w:rPr>
          <w:vertAlign w:val="subscript"/>
        </w:rPr>
        <w:t>LFG</w:t>
      </w:r>
      <w:r>
        <w:t xml:space="preserve"> C</w:t>
      </w:r>
      <w:r w:rsidR="00B02244" w:rsidRPr="00FD63D4">
        <w:rPr>
          <w:vertAlign w:val="subscript"/>
        </w:rPr>
        <w:t>NMOC</w:t>
      </w:r>
      <w:r w:rsidR="00B02244">
        <w:t xml:space="preserve"> </w:t>
      </w:r>
    </w:p>
    <w:p w:rsidR="00B02244" w:rsidRDefault="00B02244" w:rsidP="00B02244">
      <w:pPr>
        <w:widowControl w:val="0"/>
        <w:autoSpaceDE w:val="0"/>
        <w:autoSpaceDN w:val="0"/>
        <w:adjustRightInd w:val="0"/>
        <w:ind w:left="1440" w:hanging="720"/>
      </w:pPr>
    </w:p>
    <w:p w:rsidR="00B02244" w:rsidRDefault="00B02244" w:rsidP="00B02244">
      <w:pPr>
        <w:widowControl w:val="0"/>
        <w:autoSpaceDE w:val="0"/>
        <w:autoSpaceDN w:val="0"/>
        <w:adjustRightInd w:val="0"/>
        <w:ind w:left="1440" w:hanging="720"/>
      </w:pPr>
      <w:r>
        <w:tab/>
        <w:t xml:space="preserve">where: </w:t>
      </w:r>
    </w:p>
    <w:p w:rsidR="00B02244" w:rsidRDefault="00B02244" w:rsidP="00B02244">
      <w:pPr>
        <w:widowControl w:val="0"/>
        <w:autoSpaceDE w:val="0"/>
        <w:autoSpaceDN w:val="0"/>
        <w:adjustRightInd w:val="0"/>
        <w:ind w:left="1440" w:hanging="720"/>
      </w:pPr>
    </w:p>
    <w:tbl>
      <w:tblPr>
        <w:tblW w:w="0" w:type="auto"/>
        <w:tblInd w:w="1476" w:type="dxa"/>
        <w:tblLook w:val="0000" w:firstRow="0" w:lastRow="0" w:firstColumn="0" w:lastColumn="0" w:noHBand="0" w:noVBand="0"/>
      </w:tblPr>
      <w:tblGrid>
        <w:gridCol w:w="900"/>
        <w:gridCol w:w="324"/>
        <w:gridCol w:w="4875"/>
      </w:tblGrid>
      <w:tr w:rsidR="00FD63D4">
        <w:tblPrEx>
          <w:tblCellMar>
            <w:top w:w="0" w:type="dxa"/>
            <w:bottom w:w="0" w:type="dxa"/>
          </w:tblCellMar>
        </w:tblPrEx>
        <w:tc>
          <w:tcPr>
            <w:tcW w:w="900" w:type="dxa"/>
          </w:tcPr>
          <w:p w:rsidR="00FD63D4" w:rsidRDefault="00FD63D4" w:rsidP="00161BF1">
            <w:pPr>
              <w:widowControl w:val="0"/>
              <w:autoSpaceDE w:val="0"/>
              <w:autoSpaceDN w:val="0"/>
              <w:adjustRightInd w:val="0"/>
              <w:ind w:right="-111"/>
            </w:pPr>
            <w:r>
              <w:t>M</w:t>
            </w:r>
            <w:r w:rsidRPr="00FD63D4">
              <w:rPr>
                <w:vertAlign w:val="subscript"/>
              </w:rPr>
              <w:t>NMOC</w:t>
            </w:r>
          </w:p>
        </w:tc>
        <w:tc>
          <w:tcPr>
            <w:tcW w:w="324" w:type="dxa"/>
          </w:tcPr>
          <w:p w:rsidR="00FD63D4" w:rsidRDefault="00FD63D4" w:rsidP="00161BF1">
            <w:pPr>
              <w:widowControl w:val="0"/>
              <w:autoSpaceDE w:val="0"/>
              <w:autoSpaceDN w:val="0"/>
              <w:adjustRightInd w:val="0"/>
              <w:ind w:left="-105" w:right="-105"/>
              <w:jc w:val="center"/>
            </w:pPr>
            <w:r>
              <w:t>=</w:t>
            </w:r>
          </w:p>
        </w:tc>
        <w:tc>
          <w:tcPr>
            <w:tcW w:w="4875" w:type="dxa"/>
          </w:tcPr>
          <w:p w:rsidR="00FD63D4" w:rsidRDefault="00FD63D4" w:rsidP="00B02244">
            <w:pPr>
              <w:widowControl w:val="0"/>
              <w:autoSpaceDE w:val="0"/>
              <w:autoSpaceDN w:val="0"/>
              <w:adjustRightInd w:val="0"/>
            </w:pPr>
            <w:r>
              <w:t>mass emission rate of NMOC (Mg/yr)</w:t>
            </w:r>
          </w:p>
        </w:tc>
      </w:tr>
      <w:tr w:rsidR="00FD63D4">
        <w:tblPrEx>
          <w:tblCellMar>
            <w:top w:w="0" w:type="dxa"/>
            <w:bottom w:w="0" w:type="dxa"/>
          </w:tblCellMar>
        </w:tblPrEx>
        <w:tc>
          <w:tcPr>
            <w:tcW w:w="900" w:type="dxa"/>
          </w:tcPr>
          <w:p w:rsidR="00FD63D4" w:rsidRDefault="00FD63D4" w:rsidP="00161BF1">
            <w:pPr>
              <w:widowControl w:val="0"/>
              <w:autoSpaceDE w:val="0"/>
              <w:autoSpaceDN w:val="0"/>
              <w:adjustRightInd w:val="0"/>
              <w:ind w:right="-111"/>
            </w:pPr>
            <w:r>
              <w:t>Q</w:t>
            </w:r>
            <w:r w:rsidRPr="00FD63D4">
              <w:rPr>
                <w:vertAlign w:val="subscript"/>
              </w:rPr>
              <w:t>LFG</w:t>
            </w:r>
          </w:p>
        </w:tc>
        <w:tc>
          <w:tcPr>
            <w:tcW w:w="324" w:type="dxa"/>
          </w:tcPr>
          <w:p w:rsidR="00FD63D4" w:rsidRDefault="00FD63D4" w:rsidP="00161BF1">
            <w:pPr>
              <w:widowControl w:val="0"/>
              <w:autoSpaceDE w:val="0"/>
              <w:autoSpaceDN w:val="0"/>
              <w:adjustRightInd w:val="0"/>
              <w:ind w:left="-105" w:right="-105"/>
              <w:jc w:val="center"/>
            </w:pPr>
            <w:r>
              <w:t>=</w:t>
            </w:r>
          </w:p>
        </w:tc>
        <w:tc>
          <w:tcPr>
            <w:tcW w:w="4875" w:type="dxa"/>
          </w:tcPr>
          <w:p w:rsidR="00FD63D4" w:rsidRPr="00FD63D4" w:rsidRDefault="00FD63D4" w:rsidP="00B02244">
            <w:pPr>
              <w:widowControl w:val="0"/>
              <w:autoSpaceDE w:val="0"/>
              <w:autoSpaceDN w:val="0"/>
              <w:adjustRightInd w:val="0"/>
            </w:pPr>
            <w:r>
              <w:t>flow rate of landfill gas (m</w:t>
            </w:r>
            <w:r w:rsidRPr="00FD63D4">
              <w:rPr>
                <w:vertAlign w:val="superscript"/>
              </w:rPr>
              <w:t>3</w:t>
            </w:r>
            <w:r>
              <w:t>/minute)</w:t>
            </w:r>
          </w:p>
        </w:tc>
      </w:tr>
      <w:tr w:rsidR="00FD63D4">
        <w:tblPrEx>
          <w:tblCellMar>
            <w:top w:w="0" w:type="dxa"/>
            <w:bottom w:w="0" w:type="dxa"/>
          </w:tblCellMar>
        </w:tblPrEx>
        <w:tc>
          <w:tcPr>
            <w:tcW w:w="900" w:type="dxa"/>
          </w:tcPr>
          <w:p w:rsidR="00FD63D4" w:rsidRDefault="00FD63D4" w:rsidP="00161BF1">
            <w:pPr>
              <w:widowControl w:val="0"/>
              <w:autoSpaceDE w:val="0"/>
              <w:autoSpaceDN w:val="0"/>
              <w:adjustRightInd w:val="0"/>
              <w:ind w:right="-111"/>
            </w:pPr>
            <w:r>
              <w:t>C</w:t>
            </w:r>
            <w:r w:rsidRPr="00FD63D4">
              <w:rPr>
                <w:vertAlign w:val="subscript"/>
              </w:rPr>
              <w:t>NMOC</w:t>
            </w:r>
          </w:p>
        </w:tc>
        <w:tc>
          <w:tcPr>
            <w:tcW w:w="324" w:type="dxa"/>
          </w:tcPr>
          <w:p w:rsidR="00FD63D4" w:rsidRDefault="00FD63D4" w:rsidP="00161BF1">
            <w:pPr>
              <w:widowControl w:val="0"/>
              <w:autoSpaceDE w:val="0"/>
              <w:autoSpaceDN w:val="0"/>
              <w:adjustRightInd w:val="0"/>
              <w:ind w:left="-105" w:right="-105"/>
              <w:jc w:val="center"/>
            </w:pPr>
            <w:r>
              <w:t>=</w:t>
            </w:r>
          </w:p>
        </w:tc>
        <w:tc>
          <w:tcPr>
            <w:tcW w:w="4875" w:type="dxa"/>
          </w:tcPr>
          <w:p w:rsidR="00FD63D4" w:rsidRDefault="00FD63D4" w:rsidP="00B02244">
            <w:pPr>
              <w:widowControl w:val="0"/>
              <w:autoSpaceDE w:val="0"/>
              <w:autoSpaceDN w:val="0"/>
              <w:adjustRightInd w:val="0"/>
            </w:pPr>
            <w:r>
              <w:t>NMOC concentration (</w:t>
            </w:r>
            <w:proofErr w:type="spellStart"/>
            <w:r>
              <w:t>ppmv</w:t>
            </w:r>
            <w:proofErr w:type="spellEnd"/>
            <w:r>
              <w:t xml:space="preserve"> as hexane)</w:t>
            </w:r>
          </w:p>
        </w:tc>
      </w:tr>
    </w:tbl>
    <w:p w:rsidR="00B02244" w:rsidRDefault="00B02244" w:rsidP="00B02244">
      <w:pPr>
        <w:widowControl w:val="0"/>
        <w:autoSpaceDE w:val="0"/>
        <w:autoSpaceDN w:val="0"/>
        <w:adjustRightInd w:val="0"/>
        <w:ind w:left="1440" w:hanging="720"/>
      </w:pPr>
    </w:p>
    <w:p w:rsidR="00B02244" w:rsidRDefault="00B02244" w:rsidP="00B02244">
      <w:pPr>
        <w:widowControl w:val="0"/>
        <w:autoSpaceDE w:val="0"/>
        <w:autoSpaceDN w:val="0"/>
        <w:adjustRightInd w:val="0"/>
        <w:ind w:left="2160" w:hanging="720"/>
      </w:pPr>
      <w:r>
        <w:t>1)</w:t>
      </w:r>
      <w:r>
        <w:tab/>
        <w:t>T</w:t>
      </w:r>
      <w:r w:rsidR="008815BA">
        <w:t>he flow rate of landfill gas (Q</w:t>
      </w:r>
      <w:r w:rsidRPr="00FD63D4">
        <w:rPr>
          <w:vertAlign w:val="subscript"/>
        </w:rPr>
        <w:t>LFG</w:t>
      </w:r>
      <w:r>
        <w:t xml:space="preserve">) shall be determined by measuring the total landfill gas flow rate at the common header pipe that leads to the control device using a gas flow measuring device calibrated according to the provisions of Section 4 of Method 2E, Appendix A, 40 CFR 60, incorporated by reference in Section 220.130 of this Part. </w:t>
      </w:r>
    </w:p>
    <w:p w:rsidR="008309C9" w:rsidRDefault="008309C9" w:rsidP="00B02244">
      <w:pPr>
        <w:widowControl w:val="0"/>
        <w:autoSpaceDE w:val="0"/>
        <w:autoSpaceDN w:val="0"/>
        <w:adjustRightInd w:val="0"/>
        <w:ind w:left="2160" w:hanging="720"/>
      </w:pPr>
    </w:p>
    <w:p w:rsidR="00B02244" w:rsidRDefault="00B02244" w:rsidP="00B02244">
      <w:pPr>
        <w:widowControl w:val="0"/>
        <w:autoSpaceDE w:val="0"/>
        <w:autoSpaceDN w:val="0"/>
        <w:adjustRightInd w:val="0"/>
        <w:ind w:left="2160" w:hanging="720"/>
      </w:pPr>
      <w:r>
        <w:t>2)</w:t>
      </w:r>
      <w:r>
        <w:tab/>
        <w:t>Th</w:t>
      </w:r>
      <w:r w:rsidR="008815BA">
        <w:t>e average NMOC concentration (C</w:t>
      </w:r>
      <w:r w:rsidRPr="00FD63D4">
        <w:rPr>
          <w:vertAlign w:val="subscript"/>
        </w:rPr>
        <w:t>NMOC</w:t>
      </w:r>
      <w:r>
        <w:t>) shall be determined by collecting and analyzing landfill gas sampled from the common header pipe before the gas moving or condensate removal equipment using the procedures in Method 25C or Method 18, Appendix A, 40 CFR 60, incorporated by reference in Section 220.130 of this Part.  If using Method 18, the minimum list of compounds to be tested shall be those published in the Compilation of Air Pollutant Emission Factors (AP-42), incorporated by reference in Section 220.130 of this Part.  The sample location on the common header pipe shall be before any condensate removal or other gas refining units.  The landfill owner or operator shall divide the NMOC concentration from Method 25C by 6 to convert C</w:t>
      </w:r>
      <w:r w:rsidRPr="006677AC">
        <w:rPr>
          <w:vertAlign w:val="subscript"/>
        </w:rPr>
        <w:t>NMOC</w:t>
      </w:r>
      <w:r>
        <w:t xml:space="preserve"> as carbon to C</w:t>
      </w:r>
      <w:r w:rsidRPr="006677AC">
        <w:rPr>
          <w:vertAlign w:val="subscript"/>
        </w:rPr>
        <w:t>NMOC</w:t>
      </w:r>
      <w:r>
        <w:t xml:space="preserve"> as hexane. </w:t>
      </w:r>
    </w:p>
    <w:p w:rsidR="008309C9" w:rsidRDefault="008309C9" w:rsidP="00B02244">
      <w:pPr>
        <w:widowControl w:val="0"/>
        <w:autoSpaceDE w:val="0"/>
        <w:autoSpaceDN w:val="0"/>
        <w:adjustRightInd w:val="0"/>
        <w:ind w:left="1440" w:hanging="720"/>
      </w:pPr>
    </w:p>
    <w:p w:rsidR="00B02244" w:rsidRDefault="00B02244" w:rsidP="00B02244">
      <w:pPr>
        <w:widowControl w:val="0"/>
        <w:autoSpaceDE w:val="0"/>
        <w:autoSpaceDN w:val="0"/>
        <w:adjustRightInd w:val="0"/>
        <w:ind w:left="1440" w:hanging="720"/>
      </w:pPr>
      <w:r>
        <w:t>c)</w:t>
      </w:r>
      <w:r>
        <w:tab/>
        <w:t xml:space="preserve">If the gas collection system complies with the provisions in Section 220.220 of this Subpart and is already installed, the owner or operator shall estimate the NMOC emission rate using the procedures provided in subsection (b) of this Section.  For areas of the landfill where the owner or operator has not been required to install a well yet, he/she may select an appropriate method from subsection (a) of this Section to estimate emissions. </w:t>
      </w:r>
    </w:p>
    <w:p w:rsidR="008309C9" w:rsidRDefault="008309C9" w:rsidP="00B02244">
      <w:pPr>
        <w:widowControl w:val="0"/>
        <w:autoSpaceDE w:val="0"/>
        <w:autoSpaceDN w:val="0"/>
        <w:adjustRightInd w:val="0"/>
        <w:ind w:left="1440" w:hanging="720"/>
      </w:pPr>
    </w:p>
    <w:p w:rsidR="00B02244" w:rsidRDefault="00B02244" w:rsidP="00B02244">
      <w:pPr>
        <w:widowControl w:val="0"/>
        <w:autoSpaceDE w:val="0"/>
        <w:autoSpaceDN w:val="0"/>
        <w:adjustRightInd w:val="0"/>
        <w:ind w:left="1440" w:hanging="720"/>
      </w:pPr>
      <w:r>
        <w:t>d)</w:t>
      </w:r>
      <w:r>
        <w:tab/>
        <w:t xml:space="preserve">For the performance test required in Section 220.210(d)(2) of this Subpart, Method 25C or Method 18, Appendix A, 40 CFR 60, incorporated by reference in Section 220.130 of this Part, shall be used to determine compliance with 98 weight-percent efficiency or the 20 </w:t>
      </w:r>
      <w:proofErr w:type="spellStart"/>
      <w:r>
        <w:t>ppmv</w:t>
      </w:r>
      <w:proofErr w:type="spellEnd"/>
      <w:r>
        <w:t xml:space="preserve"> outlet concentration level, unless another method to demonstrate compliance has been approved by the Agency as provided by Section 220.230(d) of this Subpart.  If using Method 18, the minimum list of compounds to be tested shall be those published in the Compilation of Air Pollutant Emission Factors (AP-42), incorporated by reference in Section 220.130 of this Part.  The following equation shall be used to calculate efficiency: </w:t>
      </w:r>
    </w:p>
    <w:p w:rsidR="00B02244" w:rsidRDefault="00B02244" w:rsidP="00B02244">
      <w:pPr>
        <w:widowControl w:val="0"/>
        <w:autoSpaceDE w:val="0"/>
        <w:autoSpaceDN w:val="0"/>
        <w:adjustRightInd w:val="0"/>
        <w:ind w:left="1440" w:hanging="720"/>
      </w:pPr>
    </w:p>
    <w:p w:rsidR="00B02244" w:rsidRDefault="008815BA" w:rsidP="00B02244">
      <w:pPr>
        <w:widowControl w:val="0"/>
        <w:autoSpaceDE w:val="0"/>
        <w:autoSpaceDN w:val="0"/>
        <w:adjustRightInd w:val="0"/>
        <w:ind w:left="1440" w:hanging="720"/>
      </w:pPr>
      <w:r>
        <w:tab/>
        <w:t>Control efficiency = (</w:t>
      </w:r>
      <w:proofErr w:type="spellStart"/>
      <w:r>
        <w:t>NMOC</w:t>
      </w:r>
      <w:r w:rsidR="00B02244" w:rsidRPr="006677AC">
        <w:rPr>
          <w:vertAlign w:val="subscript"/>
        </w:rPr>
        <w:t>in</w:t>
      </w:r>
      <w:proofErr w:type="spellEnd"/>
      <w:r>
        <w:t xml:space="preserve"> - </w:t>
      </w:r>
      <w:proofErr w:type="spellStart"/>
      <w:r>
        <w:t>NMOC</w:t>
      </w:r>
      <w:r w:rsidR="00B02244" w:rsidRPr="006677AC">
        <w:rPr>
          <w:vertAlign w:val="subscript"/>
        </w:rPr>
        <w:t>out</w:t>
      </w:r>
      <w:proofErr w:type="spellEnd"/>
      <w:r w:rsidR="00B02244">
        <w:t>)/(</w:t>
      </w:r>
      <w:proofErr w:type="spellStart"/>
      <w:r w:rsidR="00B02244">
        <w:t>NMOC</w:t>
      </w:r>
      <w:r w:rsidR="00B02244" w:rsidRPr="006677AC">
        <w:rPr>
          <w:vertAlign w:val="subscript"/>
        </w:rPr>
        <w:t>in</w:t>
      </w:r>
      <w:proofErr w:type="spellEnd"/>
      <w:r w:rsidR="00B02244">
        <w:t xml:space="preserve">) </w:t>
      </w:r>
    </w:p>
    <w:p w:rsidR="00B02244" w:rsidRDefault="00B02244" w:rsidP="00B02244">
      <w:pPr>
        <w:widowControl w:val="0"/>
        <w:autoSpaceDE w:val="0"/>
        <w:autoSpaceDN w:val="0"/>
        <w:adjustRightInd w:val="0"/>
        <w:ind w:left="1440" w:hanging="720"/>
      </w:pPr>
    </w:p>
    <w:p w:rsidR="00B02244" w:rsidRDefault="00B02244" w:rsidP="00B02244">
      <w:pPr>
        <w:widowControl w:val="0"/>
        <w:autoSpaceDE w:val="0"/>
        <w:autoSpaceDN w:val="0"/>
        <w:adjustRightInd w:val="0"/>
        <w:ind w:left="1440" w:hanging="720"/>
      </w:pPr>
      <w:r>
        <w:tab/>
        <w:t xml:space="preserve">where: </w:t>
      </w:r>
    </w:p>
    <w:p w:rsidR="00B02244" w:rsidRDefault="00B02244" w:rsidP="00B02244">
      <w:pPr>
        <w:widowControl w:val="0"/>
        <w:autoSpaceDE w:val="0"/>
        <w:autoSpaceDN w:val="0"/>
        <w:adjustRightInd w:val="0"/>
        <w:ind w:left="1440" w:hanging="720"/>
      </w:pPr>
    </w:p>
    <w:tbl>
      <w:tblPr>
        <w:tblW w:w="0" w:type="auto"/>
        <w:tblInd w:w="1476" w:type="dxa"/>
        <w:tblLook w:val="0000" w:firstRow="0" w:lastRow="0" w:firstColumn="0" w:lastColumn="0" w:noHBand="0" w:noVBand="0"/>
      </w:tblPr>
      <w:tblGrid>
        <w:gridCol w:w="1125"/>
        <w:gridCol w:w="369"/>
        <w:gridCol w:w="4548"/>
      </w:tblGrid>
      <w:tr w:rsidR="006677AC">
        <w:tblPrEx>
          <w:tblCellMar>
            <w:top w:w="0" w:type="dxa"/>
            <w:bottom w:w="0" w:type="dxa"/>
          </w:tblCellMar>
        </w:tblPrEx>
        <w:tc>
          <w:tcPr>
            <w:tcW w:w="1125" w:type="dxa"/>
          </w:tcPr>
          <w:p w:rsidR="006677AC" w:rsidRDefault="006677AC" w:rsidP="00161BF1">
            <w:pPr>
              <w:widowControl w:val="0"/>
              <w:autoSpaceDE w:val="0"/>
              <w:autoSpaceDN w:val="0"/>
              <w:adjustRightInd w:val="0"/>
              <w:ind w:right="-111"/>
            </w:pPr>
            <w:proofErr w:type="spellStart"/>
            <w:r>
              <w:t>NMOC</w:t>
            </w:r>
            <w:r w:rsidRPr="006677AC">
              <w:rPr>
                <w:vertAlign w:val="subscript"/>
              </w:rPr>
              <w:t>in</w:t>
            </w:r>
            <w:proofErr w:type="spellEnd"/>
          </w:p>
        </w:tc>
        <w:tc>
          <w:tcPr>
            <w:tcW w:w="369" w:type="dxa"/>
          </w:tcPr>
          <w:p w:rsidR="006677AC" w:rsidRDefault="006677AC" w:rsidP="00161BF1">
            <w:pPr>
              <w:widowControl w:val="0"/>
              <w:autoSpaceDE w:val="0"/>
              <w:autoSpaceDN w:val="0"/>
              <w:adjustRightInd w:val="0"/>
              <w:ind w:left="-105" w:right="-117"/>
              <w:jc w:val="center"/>
            </w:pPr>
            <w:r>
              <w:t>=</w:t>
            </w:r>
          </w:p>
        </w:tc>
        <w:tc>
          <w:tcPr>
            <w:tcW w:w="4548" w:type="dxa"/>
          </w:tcPr>
          <w:p w:rsidR="006677AC" w:rsidRDefault="006677AC" w:rsidP="00B02244">
            <w:pPr>
              <w:widowControl w:val="0"/>
              <w:autoSpaceDE w:val="0"/>
              <w:autoSpaceDN w:val="0"/>
              <w:adjustRightInd w:val="0"/>
            </w:pPr>
            <w:r>
              <w:t>mass of NMOC entering control device</w:t>
            </w:r>
          </w:p>
        </w:tc>
      </w:tr>
      <w:tr w:rsidR="006677AC">
        <w:tblPrEx>
          <w:tblCellMar>
            <w:top w:w="0" w:type="dxa"/>
            <w:bottom w:w="0" w:type="dxa"/>
          </w:tblCellMar>
        </w:tblPrEx>
        <w:tc>
          <w:tcPr>
            <w:tcW w:w="1125" w:type="dxa"/>
          </w:tcPr>
          <w:p w:rsidR="006677AC" w:rsidRDefault="006677AC" w:rsidP="00161BF1">
            <w:pPr>
              <w:widowControl w:val="0"/>
              <w:autoSpaceDE w:val="0"/>
              <w:autoSpaceDN w:val="0"/>
              <w:adjustRightInd w:val="0"/>
              <w:ind w:right="-111"/>
            </w:pPr>
            <w:proofErr w:type="spellStart"/>
            <w:r>
              <w:t>NMOC</w:t>
            </w:r>
            <w:r w:rsidRPr="006677AC">
              <w:rPr>
                <w:vertAlign w:val="subscript"/>
              </w:rPr>
              <w:t>out</w:t>
            </w:r>
            <w:proofErr w:type="spellEnd"/>
          </w:p>
        </w:tc>
        <w:tc>
          <w:tcPr>
            <w:tcW w:w="369" w:type="dxa"/>
          </w:tcPr>
          <w:p w:rsidR="006677AC" w:rsidRDefault="006677AC" w:rsidP="00161BF1">
            <w:pPr>
              <w:widowControl w:val="0"/>
              <w:autoSpaceDE w:val="0"/>
              <w:autoSpaceDN w:val="0"/>
              <w:adjustRightInd w:val="0"/>
              <w:ind w:left="-105" w:right="-117"/>
              <w:jc w:val="center"/>
            </w:pPr>
            <w:r>
              <w:t>=</w:t>
            </w:r>
          </w:p>
        </w:tc>
        <w:tc>
          <w:tcPr>
            <w:tcW w:w="4548" w:type="dxa"/>
          </w:tcPr>
          <w:p w:rsidR="006677AC" w:rsidRDefault="006677AC" w:rsidP="00B02244">
            <w:pPr>
              <w:widowControl w:val="0"/>
              <w:autoSpaceDE w:val="0"/>
              <w:autoSpaceDN w:val="0"/>
              <w:adjustRightInd w:val="0"/>
            </w:pPr>
            <w:r>
              <w:t>mass of NMOC exiting control device</w:t>
            </w:r>
          </w:p>
        </w:tc>
      </w:tr>
    </w:tbl>
    <w:p w:rsidR="00B02244" w:rsidRDefault="00B02244" w:rsidP="00B02244">
      <w:pPr>
        <w:widowControl w:val="0"/>
        <w:autoSpaceDE w:val="0"/>
        <w:autoSpaceDN w:val="0"/>
        <w:adjustRightInd w:val="0"/>
        <w:ind w:left="1440" w:hanging="720"/>
      </w:pPr>
    </w:p>
    <w:p w:rsidR="00B02244" w:rsidRDefault="00B02244" w:rsidP="00B02244">
      <w:pPr>
        <w:widowControl w:val="0"/>
        <w:autoSpaceDE w:val="0"/>
        <w:autoSpaceDN w:val="0"/>
        <w:adjustRightInd w:val="0"/>
        <w:ind w:left="1440" w:hanging="720"/>
      </w:pPr>
      <w:r>
        <w:t>e)</w:t>
      </w:r>
      <w:r>
        <w:tab/>
        <w:t xml:space="preserve">The owner or operator may use other methods to determine the NMOC concentration, site-specific k, or landfill gas flow rate, as an alternate to the methods required in subsection (a)(3) and (a)(4) of this Section, if the method has been approved by the Agency, as provided for in Section 220.220(d) or Section 220.230(d) of this Subpart. </w:t>
      </w:r>
    </w:p>
    <w:p w:rsidR="008309C9" w:rsidRDefault="008309C9" w:rsidP="00B02244">
      <w:pPr>
        <w:widowControl w:val="0"/>
        <w:autoSpaceDE w:val="0"/>
        <w:autoSpaceDN w:val="0"/>
        <w:adjustRightInd w:val="0"/>
        <w:ind w:left="1440" w:hanging="720"/>
      </w:pPr>
    </w:p>
    <w:p w:rsidR="00B02244" w:rsidRDefault="00B02244" w:rsidP="00B02244">
      <w:pPr>
        <w:widowControl w:val="0"/>
        <w:autoSpaceDE w:val="0"/>
        <w:autoSpaceDN w:val="0"/>
        <w:adjustRightInd w:val="0"/>
        <w:ind w:left="1440" w:hanging="720"/>
      </w:pPr>
      <w:r>
        <w:t>f)</w:t>
      </w:r>
      <w:r>
        <w:tab/>
        <w:t xml:space="preserve">The owner or operator may use the procedures described in AP-42, Compilation of Air Pollutant Emission Factors, incorporated by reference in Section 220.130 of this Part, to estimate emissions pursuant to the annual emission report required in 35 Ill. Adm. Code 210.302(a).  </w:t>
      </w:r>
      <w:r w:rsidR="008815BA">
        <w:t>The most recent values for k, L</w:t>
      </w:r>
      <w:r w:rsidRPr="006677AC">
        <w:rPr>
          <w:vertAlign w:val="subscript"/>
        </w:rPr>
        <w:t>o</w:t>
      </w:r>
      <w:r>
        <w:t xml:space="preserve">, and NMOC concentration reported in AP-42 shall be used to calculate emissions.  To determine applicability of or compliance with the requirements of this Part, the owner or operator must use the tiered emission estimates provided in subsections (a)(1) through (a)(4) of this Section. </w:t>
      </w:r>
    </w:p>
    <w:p w:rsidR="008309C9" w:rsidRDefault="008309C9" w:rsidP="00B02244">
      <w:pPr>
        <w:widowControl w:val="0"/>
        <w:autoSpaceDE w:val="0"/>
        <w:autoSpaceDN w:val="0"/>
        <w:adjustRightInd w:val="0"/>
        <w:ind w:left="1440" w:hanging="720"/>
      </w:pPr>
    </w:p>
    <w:p w:rsidR="00B02244" w:rsidRDefault="00B02244" w:rsidP="00B02244">
      <w:pPr>
        <w:widowControl w:val="0"/>
        <w:autoSpaceDE w:val="0"/>
        <w:autoSpaceDN w:val="0"/>
        <w:adjustRightInd w:val="0"/>
        <w:ind w:left="1440" w:hanging="720"/>
      </w:pPr>
      <w:r>
        <w:t>g)</w:t>
      </w:r>
      <w:r>
        <w:tab/>
        <w:t xml:space="preserve">Testing: </w:t>
      </w:r>
    </w:p>
    <w:p w:rsidR="008309C9" w:rsidRDefault="008309C9" w:rsidP="00B02244">
      <w:pPr>
        <w:widowControl w:val="0"/>
        <w:autoSpaceDE w:val="0"/>
        <w:autoSpaceDN w:val="0"/>
        <w:adjustRightInd w:val="0"/>
        <w:ind w:left="2160" w:hanging="720"/>
      </w:pPr>
    </w:p>
    <w:p w:rsidR="00B02244" w:rsidRDefault="00B02244" w:rsidP="00B02244">
      <w:pPr>
        <w:widowControl w:val="0"/>
        <w:autoSpaceDE w:val="0"/>
        <w:autoSpaceDN w:val="0"/>
        <w:adjustRightInd w:val="0"/>
        <w:ind w:left="2160" w:hanging="720"/>
      </w:pPr>
      <w:r>
        <w:t>1)</w:t>
      </w:r>
      <w:r>
        <w:tab/>
        <w:t>Upon a request by the Agency, the owner or operator of an MSW landfill shall at his own expense demonstrate compliance with the applicable requirem</w:t>
      </w:r>
      <w:r w:rsidR="00161BF1">
        <w:t xml:space="preserve">ents of this Subpart using the </w:t>
      </w:r>
      <w:r>
        <w:t xml:space="preserve">appropriate test method. </w:t>
      </w:r>
    </w:p>
    <w:p w:rsidR="008309C9" w:rsidRDefault="008309C9" w:rsidP="00B02244">
      <w:pPr>
        <w:widowControl w:val="0"/>
        <w:autoSpaceDE w:val="0"/>
        <w:autoSpaceDN w:val="0"/>
        <w:adjustRightInd w:val="0"/>
        <w:ind w:left="2160" w:hanging="720"/>
      </w:pPr>
    </w:p>
    <w:p w:rsidR="00B02244" w:rsidRDefault="00B02244" w:rsidP="00B02244">
      <w:pPr>
        <w:widowControl w:val="0"/>
        <w:autoSpaceDE w:val="0"/>
        <w:autoSpaceDN w:val="0"/>
        <w:adjustRightInd w:val="0"/>
        <w:ind w:left="2160" w:hanging="720"/>
      </w:pPr>
      <w:r>
        <w:t>2)</w:t>
      </w:r>
      <w:r>
        <w:tab/>
        <w:t xml:space="preserve">An owner or operator planning to conduct a test to demonstrate compliance with this Subpart shall notify the Agency of that intent not less than 30 days before the planned initiation of the tests so that the Agency may observe the test. </w:t>
      </w:r>
    </w:p>
    <w:sectPr w:rsidR="00B02244" w:rsidSect="00B022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244"/>
    <w:rsid w:val="00161BF1"/>
    <w:rsid w:val="0033213F"/>
    <w:rsid w:val="00440FEF"/>
    <w:rsid w:val="004901ED"/>
    <w:rsid w:val="004B602A"/>
    <w:rsid w:val="005C3366"/>
    <w:rsid w:val="006677AC"/>
    <w:rsid w:val="00761022"/>
    <w:rsid w:val="008309C9"/>
    <w:rsid w:val="008815BA"/>
    <w:rsid w:val="00B02244"/>
    <w:rsid w:val="00B74BD3"/>
    <w:rsid w:val="00BC3A3E"/>
    <w:rsid w:val="00CA2149"/>
    <w:rsid w:val="00D922F2"/>
    <w:rsid w:val="00E4553D"/>
    <w:rsid w:val="00E57EFF"/>
    <w:rsid w:val="00E67B77"/>
    <w:rsid w:val="00E713B5"/>
    <w:rsid w:val="00F61452"/>
    <w:rsid w:val="00FD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cp:lastPrinted>2003-03-31T13:54:00Z</cp:lastPrinted>
  <dcterms:created xsi:type="dcterms:W3CDTF">2012-06-21T19:44:00Z</dcterms:created>
  <dcterms:modified xsi:type="dcterms:W3CDTF">2012-06-21T19:44:00Z</dcterms:modified>
</cp:coreProperties>
</file>