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48" w:rsidRDefault="009A6E48" w:rsidP="009A6E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6E48" w:rsidRDefault="009A6E48" w:rsidP="009A6E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219.436  Compliance Date</w:t>
      </w:r>
      <w:r>
        <w:t xml:space="preserve"> </w:t>
      </w:r>
    </w:p>
    <w:p w:rsidR="009A6E48" w:rsidRDefault="009A6E48" w:rsidP="009A6E48">
      <w:pPr>
        <w:widowControl w:val="0"/>
        <w:autoSpaceDE w:val="0"/>
        <w:autoSpaceDN w:val="0"/>
        <w:adjustRightInd w:val="0"/>
      </w:pPr>
    </w:p>
    <w:p w:rsidR="009A6E48" w:rsidRDefault="009A6E48" w:rsidP="009A6E48">
      <w:pPr>
        <w:widowControl w:val="0"/>
        <w:autoSpaceDE w:val="0"/>
        <w:autoSpaceDN w:val="0"/>
        <w:adjustRightInd w:val="0"/>
      </w:pPr>
      <w:r>
        <w:t xml:space="preserve">Every owner or operator of a source subject to Sections 219.431, 219.432, 219.433, 219.434 or 219.435 of this Subpart shall comply with its standards, limitations and mandates by March 15, 1996. </w:t>
      </w:r>
    </w:p>
    <w:p w:rsidR="009A6E48" w:rsidRDefault="009A6E48" w:rsidP="009A6E48">
      <w:pPr>
        <w:widowControl w:val="0"/>
        <w:autoSpaceDE w:val="0"/>
        <w:autoSpaceDN w:val="0"/>
        <w:adjustRightInd w:val="0"/>
      </w:pPr>
    </w:p>
    <w:p w:rsidR="009A6E48" w:rsidRDefault="009A6E48" w:rsidP="009A6E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6958, effective May 9, 1995) </w:t>
      </w:r>
    </w:p>
    <w:sectPr w:rsidR="009A6E48" w:rsidSect="009A6E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6E48"/>
    <w:rsid w:val="00173FE5"/>
    <w:rsid w:val="005413E8"/>
    <w:rsid w:val="005C3366"/>
    <w:rsid w:val="009A6E48"/>
    <w:rsid w:val="00A8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