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3B" w:rsidRDefault="00305E3B" w:rsidP="00305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E3B" w:rsidRDefault="00305E3B" w:rsidP="00305E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218.947  Compliance Schedule</w:t>
      </w:r>
      <w:r>
        <w:t xml:space="preserve"> </w:t>
      </w:r>
    </w:p>
    <w:p w:rsidR="00305E3B" w:rsidRDefault="00305E3B" w:rsidP="00305E3B">
      <w:pPr>
        <w:widowControl w:val="0"/>
        <w:autoSpaceDE w:val="0"/>
        <w:autoSpaceDN w:val="0"/>
        <w:adjustRightInd w:val="0"/>
      </w:pPr>
    </w:p>
    <w:p w:rsidR="00305E3B" w:rsidRDefault="00305E3B" w:rsidP="00305E3B">
      <w:pPr>
        <w:widowControl w:val="0"/>
        <w:autoSpaceDE w:val="0"/>
        <w:autoSpaceDN w:val="0"/>
        <w:adjustRightInd w:val="0"/>
      </w:pPr>
      <w:r>
        <w:t xml:space="preserve">Every owner or operator of an emission unit subject to the control requirements of this Subpart shall comply with the requirements thereof on and after a date consistent with Section 218.106 of this Part. </w:t>
      </w:r>
    </w:p>
    <w:p w:rsidR="00305E3B" w:rsidRDefault="00305E3B" w:rsidP="00305E3B">
      <w:pPr>
        <w:widowControl w:val="0"/>
        <w:autoSpaceDE w:val="0"/>
        <w:autoSpaceDN w:val="0"/>
        <w:adjustRightInd w:val="0"/>
      </w:pPr>
    </w:p>
    <w:p w:rsidR="00305E3B" w:rsidRDefault="00305E3B" w:rsidP="00305E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305E3B" w:rsidSect="00305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E3B"/>
    <w:rsid w:val="00043B3C"/>
    <w:rsid w:val="00305E3B"/>
    <w:rsid w:val="004263A6"/>
    <w:rsid w:val="005B29E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