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4F" w:rsidRDefault="0086724F" w:rsidP="00867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24F" w:rsidRDefault="0086724F" w:rsidP="008672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218.686  Control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:rsidR="0086724F" w:rsidRDefault="0086724F" w:rsidP="0086724F">
      <w:pPr>
        <w:widowControl w:val="0"/>
        <w:autoSpaceDE w:val="0"/>
        <w:autoSpaceDN w:val="0"/>
        <w:adjustRightInd w:val="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owner or operator of an aerosol can filling line that is filling cans with a propellant which contains propane, butane or other VOM subject to this Subpart shall comply with the following requirements: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16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Emission capture and control techniques which achieve an overall reduction in uncontrolled VOM emission of at least 81% from the propellant filling area, also known as the gas house, on each line; or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16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As an alternative to compliance with subsection (a)(1) of this Subpart, the owner or operator of an aerosol can fil</w:t>
      </w:r>
      <w:r w:rsidR="00EF4998">
        <w:t>l</w:t>
      </w:r>
      <w:r>
        <w:t xml:space="preserve">ing line shall comply with the following requirements: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88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Fill all cans, other than trial runs of cans to verify product quality, using through-the-valve fill or enhanced under-the-cup fill to minimize loss of VOM propellant; or use a reclamation system to recover surplus VOM propellant; or use another system approved in a federally enforceable permit which achieves at least 75% reduction of the emissions of under-the-cup fill;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88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Fill on a monthly basis at least 90% of cans filled on such aerosol can filling lines that are capable of being filled by the through-the-valve method with through-the-valve fill. All cans shall be considered capable of being filled by the through-the-valve method unless, as demonstrated by the records required by Section 218.692(b)(2) of this Part, the valve assembly is not adaptable to the through-the-valve fill; through-the-valve fill cannot be accomplished with at least 85% of the under-the-cup operating rate in cans per minute of filling; or performance, that is the discharge of the can's contents to accomplish its intended function, is negatively affected by through-the-valve fill considering factors such as propellant solubility in the can's contents and the amount of turbulence which the contents may experience during propellant filling; and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88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Verify proper filling of cans with a VOM monitoring system in the gas house.  This system may monitor VOM concentration as a percentage of the lower explosive limit.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144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owner or operator of a propellant booster pump associated with an aerosol can filling line subject to this Subpart shall comply with one of the following requirements: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16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Emission capture and control techniques which achieve an overall reduction in uncontrolled VOM emission of at least 81% from each pump.  If the pumps are located in the gas house of a filling line, compliance with this reduction may be achieved by the combination of the pumps located in the gas house and the propellant filling area; or </w:t>
      </w:r>
    </w:p>
    <w:p w:rsidR="00034ABC" w:rsidRDefault="00034ABC" w:rsidP="0086724F">
      <w:pPr>
        <w:widowControl w:val="0"/>
        <w:autoSpaceDE w:val="0"/>
        <w:autoSpaceDN w:val="0"/>
        <w:adjustRightInd w:val="0"/>
        <w:ind w:left="216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 practices to prevent leaks from a pump, meaning a loss of VOM from the pump above background levels.  Work practices shall include changing seals every four (4) weeks and plungers every 16 weeks unless a pump monitoring procedure approved in a federally enforceable permit establishes otherwise. </w:t>
      </w:r>
    </w:p>
    <w:p w:rsidR="0086724F" w:rsidRDefault="0086724F" w:rsidP="0086724F">
      <w:pPr>
        <w:widowControl w:val="0"/>
        <w:autoSpaceDE w:val="0"/>
        <w:autoSpaceDN w:val="0"/>
        <w:adjustRightInd w:val="0"/>
        <w:ind w:left="2160" w:hanging="720"/>
      </w:pPr>
    </w:p>
    <w:p w:rsidR="0086724F" w:rsidRDefault="0086724F" w:rsidP="008672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6848, effective May 9, 1995) </w:t>
      </w:r>
    </w:p>
    <w:sectPr w:rsidR="0086724F" w:rsidSect="00867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24F"/>
    <w:rsid w:val="00034ABC"/>
    <w:rsid w:val="005C3366"/>
    <w:rsid w:val="005E2BB0"/>
    <w:rsid w:val="006C0A09"/>
    <w:rsid w:val="00747063"/>
    <w:rsid w:val="0086724F"/>
    <w:rsid w:val="00E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