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A50" w:rsidRDefault="00656A50" w:rsidP="00656A50">
      <w:pPr>
        <w:widowControl w:val="0"/>
        <w:autoSpaceDE w:val="0"/>
        <w:autoSpaceDN w:val="0"/>
        <w:adjustRightInd w:val="0"/>
      </w:pPr>
      <w:bookmarkStart w:id="0" w:name="_GoBack"/>
      <w:bookmarkEnd w:id="0"/>
    </w:p>
    <w:p w:rsidR="00656A50" w:rsidRDefault="00656A50" w:rsidP="00656A50">
      <w:pPr>
        <w:widowControl w:val="0"/>
        <w:autoSpaceDE w:val="0"/>
        <w:autoSpaceDN w:val="0"/>
        <w:adjustRightInd w:val="0"/>
      </w:pPr>
      <w:r>
        <w:rPr>
          <w:b/>
          <w:bCs/>
        </w:rPr>
        <w:t>Section 218.520   Emission Limitations for Air Oxidation Processes</w:t>
      </w:r>
      <w:r>
        <w:t xml:space="preserve"> </w:t>
      </w:r>
    </w:p>
    <w:p w:rsidR="00656A50" w:rsidRDefault="00656A50" w:rsidP="00656A50">
      <w:pPr>
        <w:widowControl w:val="0"/>
        <w:autoSpaceDE w:val="0"/>
        <w:autoSpaceDN w:val="0"/>
        <w:adjustRightInd w:val="0"/>
      </w:pPr>
    </w:p>
    <w:p w:rsidR="00656A50" w:rsidRDefault="00656A50" w:rsidP="00656A50">
      <w:pPr>
        <w:widowControl w:val="0"/>
        <w:autoSpaceDE w:val="0"/>
        <w:autoSpaceDN w:val="0"/>
        <w:adjustRightInd w:val="0"/>
        <w:ind w:left="1440" w:hanging="720"/>
      </w:pPr>
      <w:r>
        <w:t>a)</w:t>
      </w:r>
      <w:r>
        <w:tab/>
        <w:t xml:space="preserve">No person shall cause or allow the emission of VOM from any process vent stream unless the process vent stream is vented to a combustion device which is designed and operated either: </w:t>
      </w:r>
    </w:p>
    <w:p w:rsidR="00497B9B" w:rsidRDefault="00497B9B" w:rsidP="00656A50">
      <w:pPr>
        <w:widowControl w:val="0"/>
        <w:autoSpaceDE w:val="0"/>
        <w:autoSpaceDN w:val="0"/>
        <w:adjustRightInd w:val="0"/>
        <w:ind w:left="2160" w:hanging="720"/>
      </w:pPr>
    </w:p>
    <w:p w:rsidR="00656A50" w:rsidRDefault="00656A50" w:rsidP="00656A50">
      <w:pPr>
        <w:widowControl w:val="0"/>
        <w:autoSpaceDE w:val="0"/>
        <w:autoSpaceDN w:val="0"/>
        <w:adjustRightInd w:val="0"/>
        <w:ind w:left="2160" w:hanging="720"/>
      </w:pPr>
      <w:r>
        <w:t>1)</w:t>
      </w:r>
      <w:r>
        <w:tab/>
        <w:t xml:space="preserve">To reduce the volatile organic emissions vented to it with an efficiency of at least ninety eight percent (98%) by weight; or </w:t>
      </w:r>
    </w:p>
    <w:p w:rsidR="00497B9B" w:rsidRDefault="00497B9B" w:rsidP="00656A50">
      <w:pPr>
        <w:widowControl w:val="0"/>
        <w:autoSpaceDE w:val="0"/>
        <w:autoSpaceDN w:val="0"/>
        <w:adjustRightInd w:val="0"/>
        <w:ind w:left="2160" w:hanging="720"/>
      </w:pPr>
    </w:p>
    <w:p w:rsidR="00656A50" w:rsidRDefault="00656A50" w:rsidP="00656A50">
      <w:pPr>
        <w:widowControl w:val="0"/>
        <w:autoSpaceDE w:val="0"/>
        <w:autoSpaceDN w:val="0"/>
        <w:adjustRightInd w:val="0"/>
        <w:ind w:left="2160" w:hanging="720"/>
      </w:pPr>
      <w:r>
        <w:t>2)</w:t>
      </w:r>
      <w:r>
        <w:tab/>
        <w:t xml:space="preserve">To emit VOM at a concentration less than twenty parts per million by volume, dry basis. </w:t>
      </w:r>
    </w:p>
    <w:p w:rsidR="00497B9B" w:rsidRDefault="00497B9B" w:rsidP="00656A50">
      <w:pPr>
        <w:widowControl w:val="0"/>
        <w:autoSpaceDE w:val="0"/>
        <w:autoSpaceDN w:val="0"/>
        <w:adjustRightInd w:val="0"/>
        <w:ind w:left="1440" w:hanging="720"/>
      </w:pPr>
    </w:p>
    <w:p w:rsidR="00656A50" w:rsidRDefault="00656A50" w:rsidP="00656A50">
      <w:pPr>
        <w:widowControl w:val="0"/>
        <w:autoSpaceDE w:val="0"/>
        <w:autoSpaceDN w:val="0"/>
        <w:adjustRightInd w:val="0"/>
        <w:ind w:left="1440" w:hanging="720"/>
      </w:pPr>
      <w:r>
        <w:t>b)</w:t>
      </w:r>
      <w:r>
        <w:tab/>
        <w:t xml:space="preserve">Combustion Device at a Phthalic Anhydride Air Oxidation Process </w:t>
      </w:r>
    </w:p>
    <w:p w:rsidR="00497B9B" w:rsidRDefault="00497B9B" w:rsidP="00656A50">
      <w:pPr>
        <w:widowControl w:val="0"/>
        <w:autoSpaceDE w:val="0"/>
        <w:autoSpaceDN w:val="0"/>
        <w:adjustRightInd w:val="0"/>
        <w:ind w:left="2160" w:hanging="720"/>
      </w:pPr>
    </w:p>
    <w:p w:rsidR="00656A50" w:rsidRDefault="00656A50" w:rsidP="00656A50">
      <w:pPr>
        <w:widowControl w:val="0"/>
        <w:autoSpaceDE w:val="0"/>
        <w:autoSpaceDN w:val="0"/>
        <w:adjustRightInd w:val="0"/>
        <w:ind w:left="2160" w:hanging="720"/>
      </w:pPr>
      <w:r>
        <w:t>1)</w:t>
      </w:r>
      <w:r>
        <w:tab/>
        <w:t xml:space="preserve">Notwithstanding subsection (a) above, and subject to subsection (b)(2) below, no person shall cause or allow the emissions of VOM through an existing combustion device at a phthalic anhydride air oxidation process, unless the combustion device is operated to achieve: </w:t>
      </w:r>
    </w:p>
    <w:p w:rsidR="00497B9B" w:rsidRDefault="00497B9B" w:rsidP="00656A50">
      <w:pPr>
        <w:widowControl w:val="0"/>
        <w:autoSpaceDE w:val="0"/>
        <w:autoSpaceDN w:val="0"/>
        <w:adjustRightInd w:val="0"/>
        <w:ind w:left="2880" w:hanging="720"/>
      </w:pPr>
    </w:p>
    <w:p w:rsidR="00656A50" w:rsidRDefault="00656A50" w:rsidP="00656A50">
      <w:pPr>
        <w:widowControl w:val="0"/>
        <w:autoSpaceDE w:val="0"/>
        <w:autoSpaceDN w:val="0"/>
        <w:adjustRightInd w:val="0"/>
        <w:ind w:left="2880" w:hanging="720"/>
      </w:pPr>
      <w:r>
        <w:t>A)</w:t>
      </w:r>
      <w:r>
        <w:tab/>
        <w:t xml:space="preserve">90% control of the volatile organic emissions vented to it; or </w:t>
      </w:r>
    </w:p>
    <w:p w:rsidR="00497B9B" w:rsidRDefault="00497B9B" w:rsidP="00656A50">
      <w:pPr>
        <w:widowControl w:val="0"/>
        <w:autoSpaceDE w:val="0"/>
        <w:autoSpaceDN w:val="0"/>
        <w:adjustRightInd w:val="0"/>
        <w:ind w:left="2880" w:hanging="720"/>
      </w:pPr>
    </w:p>
    <w:p w:rsidR="00656A50" w:rsidRDefault="00656A50" w:rsidP="00656A50">
      <w:pPr>
        <w:widowControl w:val="0"/>
        <w:autoSpaceDE w:val="0"/>
        <w:autoSpaceDN w:val="0"/>
        <w:adjustRightInd w:val="0"/>
        <w:ind w:left="2880" w:hanging="720"/>
      </w:pPr>
      <w:r>
        <w:t>B)</w:t>
      </w:r>
      <w:r>
        <w:tab/>
        <w:t xml:space="preserve">VOM emissions concentration of less than 50 parts per million by volume, dry basis. </w:t>
      </w:r>
    </w:p>
    <w:p w:rsidR="00497B9B" w:rsidRDefault="00497B9B" w:rsidP="00656A50">
      <w:pPr>
        <w:widowControl w:val="0"/>
        <w:autoSpaceDE w:val="0"/>
        <w:autoSpaceDN w:val="0"/>
        <w:adjustRightInd w:val="0"/>
        <w:ind w:left="2160" w:hanging="720"/>
      </w:pPr>
    </w:p>
    <w:p w:rsidR="00656A50" w:rsidRDefault="00656A50" w:rsidP="00656A50">
      <w:pPr>
        <w:widowControl w:val="0"/>
        <w:autoSpaceDE w:val="0"/>
        <w:autoSpaceDN w:val="0"/>
        <w:adjustRightInd w:val="0"/>
        <w:ind w:left="2160" w:hanging="720"/>
      </w:pPr>
      <w:r>
        <w:t>2)</w:t>
      </w:r>
      <w:r>
        <w:tab/>
        <w:t xml:space="preserve">Any existing combustion device subject to subsection (b)(1) above is required to meet the 98 percent emissions limit set forth in subsection (a) above either upon replacing the combustion device for any reasons, including, but not be limited to, normal maintenance, malfunction, accident, and obsolescence, or the date of December 31, 1999, whichever comes first.  A combustion device is considered to be replaced when: </w:t>
      </w:r>
    </w:p>
    <w:p w:rsidR="00497B9B" w:rsidRDefault="00497B9B" w:rsidP="00656A50">
      <w:pPr>
        <w:widowControl w:val="0"/>
        <w:autoSpaceDE w:val="0"/>
        <w:autoSpaceDN w:val="0"/>
        <w:adjustRightInd w:val="0"/>
        <w:ind w:left="2880" w:hanging="720"/>
      </w:pPr>
    </w:p>
    <w:p w:rsidR="00656A50" w:rsidRDefault="00656A50" w:rsidP="00656A50">
      <w:pPr>
        <w:widowControl w:val="0"/>
        <w:autoSpaceDE w:val="0"/>
        <w:autoSpaceDN w:val="0"/>
        <w:adjustRightInd w:val="0"/>
        <w:ind w:left="2880" w:hanging="720"/>
      </w:pPr>
      <w:r>
        <w:t>A)</w:t>
      </w:r>
      <w:r>
        <w:tab/>
        <w:t xml:space="preserve">All of the device is replaced; or </w:t>
      </w:r>
    </w:p>
    <w:p w:rsidR="00497B9B" w:rsidRDefault="00497B9B" w:rsidP="00656A50">
      <w:pPr>
        <w:widowControl w:val="0"/>
        <w:autoSpaceDE w:val="0"/>
        <w:autoSpaceDN w:val="0"/>
        <w:adjustRightInd w:val="0"/>
        <w:ind w:left="2880" w:hanging="720"/>
      </w:pPr>
    </w:p>
    <w:p w:rsidR="00656A50" w:rsidRDefault="00656A50" w:rsidP="00656A50">
      <w:pPr>
        <w:widowControl w:val="0"/>
        <w:autoSpaceDE w:val="0"/>
        <w:autoSpaceDN w:val="0"/>
        <w:adjustRightInd w:val="0"/>
        <w:ind w:left="2880" w:hanging="720"/>
      </w:pPr>
      <w:r>
        <w:t>B)</w:t>
      </w:r>
      <w:r>
        <w:tab/>
        <w:t xml:space="preserve">When the cost of the repair of the device or the cost of replacement of part of the device exceeds 50% of the cost of replacing the entire device with a device which complies. </w:t>
      </w:r>
    </w:p>
    <w:p w:rsidR="00497B9B" w:rsidRDefault="00497B9B" w:rsidP="00656A50">
      <w:pPr>
        <w:widowControl w:val="0"/>
        <w:autoSpaceDE w:val="0"/>
        <w:autoSpaceDN w:val="0"/>
        <w:adjustRightInd w:val="0"/>
        <w:ind w:left="1440" w:hanging="720"/>
      </w:pPr>
    </w:p>
    <w:p w:rsidR="00656A50" w:rsidRDefault="00656A50" w:rsidP="00656A50">
      <w:pPr>
        <w:widowControl w:val="0"/>
        <w:autoSpaceDE w:val="0"/>
        <w:autoSpaceDN w:val="0"/>
        <w:adjustRightInd w:val="0"/>
        <w:ind w:left="1440" w:hanging="720"/>
      </w:pPr>
      <w:r>
        <w:t>c)</w:t>
      </w:r>
      <w:r>
        <w:tab/>
        <w:t xml:space="preserve">The limitations of subsection (a) above shall apply to any process vent stream or combination of process vent streams with a Total Resource Effectiveness Index (TRE) less than or equal to 6.0.  TRE shall be determined by the following methods: </w:t>
      </w:r>
    </w:p>
    <w:p w:rsidR="00497B9B" w:rsidRDefault="00497B9B" w:rsidP="00656A50">
      <w:pPr>
        <w:widowControl w:val="0"/>
        <w:autoSpaceDE w:val="0"/>
        <w:autoSpaceDN w:val="0"/>
        <w:adjustRightInd w:val="0"/>
        <w:ind w:left="2160" w:hanging="720"/>
      </w:pPr>
    </w:p>
    <w:p w:rsidR="00656A50" w:rsidRDefault="00656A50" w:rsidP="00656A50">
      <w:pPr>
        <w:widowControl w:val="0"/>
        <w:autoSpaceDE w:val="0"/>
        <w:autoSpaceDN w:val="0"/>
        <w:adjustRightInd w:val="0"/>
        <w:ind w:left="2160" w:hanging="720"/>
      </w:pPr>
      <w:r>
        <w:t>1)</w:t>
      </w:r>
      <w:r>
        <w:tab/>
        <w:t xml:space="preserve">If an air oxidation process has more than one process vent stream, TRE shall be the more stringent of either the TRE based upon a combination of the process vent streams or the TRE based upon each individual process </w:t>
      </w:r>
      <w:r>
        <w:lastRenderedPageBreak/>
        <w:t xml:space="preserve">vent stream. </w:t>
      </w:r>
    </w:p>
    <w:p w:rsidR="00497B9B" w:rsidRDefault="00497B9B" w:rsidP="00656A50">
      <w:pPr>
        <w:widowControl w:val="0"/>
        <w:autoSpaceDE w:val="0"/>
        <w:autoSpaceDN w:val="0"/>
        <w:adjustRightInd w:val="0"/>
        <w:ind w:left="2160" w:hanging="720"/>
      </w:pPr>
    </w:p>
    <w:p w:rsidR="00656A50" w:rsidRDefault="00656A50" w:rsidP="00656A50">
      <w:pPr>
        <w:widowControl w:val="0"/>
        <w:autoSpaceDE w:val="0"/>
        <w:autoSpaceDN w:val="0"/>
        <w:adjustRightInd w:val="0"/>
        <w:ind w:left="2160" w:hanging="720"/>
      </w:pPr>
      <w:r>
        <w:t>2)</w:t>
      </w:r>
      <w:r>
        <w:tab/>
        <w:t xml:space="preserve">The TRE of a process vent stream and the TRE of a combination of process vent streams, whichever is applicable, shall be determined according to the following equation: </w:t>
      </w:r>
    </w:p>
    <w:p w:rsidR="00FE3868" w:rsidRDefault="00FE3868" w:rsidP="00656A50">
      <w:pPr>
        <w:widowControl w:val="0"/>
        <w:autoSpaceDE w:val="0"/>
        <w:autoSpaceDN w:val="0"/>
        <w:adjustRightInd w:val="0"/>
        <w:ind w:left="2160" w:hanging="720"/>
      </w:pPr>
    </w:p>
    <w:p w:rsidR="00326987" w:rsidRDefault="00326987" w:rsidP="00326987">
      <w:pPr>
        <w:widowControl w:val="0"/>
        <w:autoSpaceDE w:val="0"/>
        <w:autoSpaceDN w:val="0"/>
        <w:adjustRightInd w:val="0"/>
        <w:ind w:left="2160"/>
      </w:pPr>
      <w:r w:rsidRPr="00326987">
        <w:rPr>
          <w:position w:val="-10"/>
        </w:rPr>
        <w:object w:dxaOrig="59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25pt;height:15.75pt" o:ole="">
            <v:imagedata r:id="rId5" o:title=""/>
          </v:shape>
          <o:OLEObject Type="Embed" ProgID="Equation.3" ShapeID="_x0000_i1025" DrawAspect="Content" ObjectID="_1401798969" r:id="rId6"/>
        </w:object>
      </w:r>
    </w:p>
    <w:p w:rsidR="00326987" w:rsidRDefault="00326987" w:rsidP="00656A50">
      <w:pPr>
        <w:widowControl w:val="0"/>
        <w:autoSpaceDE w:val="0"/>
        <w:autoSpaceDN w:val="0"/>
        <w:adjustRightInd w:val="0"/>
        <w:ind w:left="2160" w:hanging="720"/>
      </w:pPr>
    </w:p>
    <w:p w:rsidR="00FE3868" w:rsidRDefault="00A01514" w:rsidP="00FE3868">
      <w:pPr>
        <w:widowControl w:val="0"/>
        <w:autoSpaceDE w:val="0"/>
        <w:autoSpaceDN w:val="0"/>
        <w:adjustRightInd w:val="0"/>
        <w:ind w:left="2160" w:firstLine="6"/>
      </w:pPr>
      <w:r>
        <w:t>where:</w:t>
      </w:r>
    </w:p>
    <w:p w:rsidR="00A01514" w:rsidRDefault="00A01514" w:rsidP="00FE3868">
      <w:pPr>
        <w:widowControl w:val="0"/>
        <w:autoSpaceDE w:val="0"/>
        <w:autoSpaceDN w:val="0"/>
        <w:adjustRightInd w:val="0"/>
        <w:ind w:left="2160" w:firstLine="6"/>
      </w:pPr>
    </w:p>
    <w:tbl>
      <w:tblPr>
        <w:tblW w:w="0" w:type="auto"/>
        <w:tblInd w:w="2160" w:type="dxa"/>
        <w:tblLook w:val="0000" w:firstRow="0" w:lastRow="0" w:firstColumn="0" w:lastColumn="0" w:noHBand="0" w:noVBand="0"/>
      </w:tblPr>
      <w:tblGrid>
        <w:gridCol w:w="1710"/>
        <w:gridCol w:w="352"/>
        <w:gridCol w:w="5354"/>
      </w:tblGrid>
      <w:tr w:rsidR="00A01514">
        <w:tblPrEx>
          <w:tblCellMar>
            <w:top w:w="0" w:type="dxa"/>
            <w:bottom w:w="0" w:type="dxa"/>
          </w:tblCellMar>
        </w:tblPrEx>
        <w:tc>
          <w:tcPr>
            <w:tcW w:w="1710" w:type="dxa"/>
          </w:tcPr>
          <w:p w:rsidR="00A01514" w:rsidRDefault="00A01514" w:rsidP="00FE3868">
            <w:pPr>
              <w:widowControl w:val="0"/>
              <w:autoSpaceDE w:val="0"/>
              <w:autoSpaceDN w:val="0"/>
              <w:adjustRightInd w:val="0"/>
            </w:pPr>
            <w:r>
              <w:t>n</w:t>
            </w:r>
          </w:p>
        </w:tc>
        <w:tc>
          <w:tcPr>
            <w:tcW w:w="352" w:type="dxa"/>
          </w:tcPr>
          <w:p w:rsidR="00A01514" w:rsidRDefault="00A01514" w:rsidP="00FE3868">
            <w:pPr>
              <w:widowControl w:val="0"/>
              <w:autoSpaceDE w:val="0"/>
              <w:autoSpaceDN w:val="0"/>
              <w:adjustRightInd w:val="0"/>
            </w:pPr>
            <w:r>
              <w:t>=</w:t>
            </w:r>
          </w:p>
        </w:tc>
        <w:tc>
          <w:tcPr>
            <w:tcW w:w="5354" w:type="dxa"/>
          </w:tcPr>
          <w:p w:rsidR="00A01514" w:rsidRDefault="00A01514" w:rsidP="00FE3868">
            <w:pPr>
              <w:widowControl w:val="0"/>
              <w:autoSpaceDE w:val="0"/>
              <w:autoSpaceDN w:val="0"/>
              <w:adjustRightInd w:val="0"/>
            </w:pPr>
            <w:r>
              <w:t>0.88;</w:t>
            </w:r>
          </w:p>
        </w:tc>
      </w:tr>
      <w:tr w:rsidR="00A01514">
        <w:tblPrEx>
          <w:tblCellMar>
            <w:top w:w="0" w:type="dxa"/>
            <w:bottom w:w="0" w:type="dxa"/>
          </w:tblCellMar>
        </w:tblPrEx>
        <w:tc>
          <w:tcPr>
            <w:tcW w:w="1710" w:type="dxa"/>
          </w:tcPr>
          <w:p w:rsidR="00A01514" w:rsidRDefault="00A01514" w:rsidP="00FE3868">
            <w:pPr>
              <w:widowControl w:val="0"/>
              <w:autoSpaceDE w:val="0"/>
              <w:autoSpaceDN w:val="0"/>
              <w:adjustRightInd w:val="0"/>
            </w:pPr>
            <w:r>
              <w:t>TRE</w:t>
            </w:r>
          </w:p>
        </w:tc>
        <w:tc>
          <w:tcPr>
            <w:tcW w:w="352" w:type="dxa"/>
          </w:tcPr>
          <w:p w:rsidR="00A01514" w:rsidRDefault="00A01514" w:rsidP="00FE3868">
            <w:pPr>
              <w:widowControl w:val="0"/>
              <w:autoSpaceDE w:val="0"/>
              <w:autoSpaceDN w:val="0"/>
              <w:adjustRightInd w:val="0"/>
            </w:pPr>
            <w:r>
              <w:t>=</w:t>
            </w:r>
          </w:p>
        </w:tc>
        <w:tc>
          <w:tcPr>
            <w:tcW w:w="5354" w:type="dxa"/>
          </w:tcPr>
          <w:p w:rsidR="00A01514" w:rsidRDefault="00A01514" w:rsidP="00FE3868">
            <w:pPr>
              <w:widowControl w:val="0"/>
              <w:autoSpaceDE w:val="0"/>
              <w:autoSpaceDN w:val="0"/>
              <w:adjustRightInd w:val="0"/>
            </w:pPr>
            <w:r>
              <w:t>Total resource effectiveness index;</w:t>
            </w:r>
          </w:p>
        </w:tc>
      </w:tr>
      <w:tr w:rsidR="00A01514">
        <w:tblPrEx>
          <w:tblCellMar>
            <w:top w:w="0" w:type="dxa"/>
            <w:bottom w:w="0" w:type="dxa"/>
          </w:tblCellMar>
        </w:tblPrEx>
        <w:tc>
          <w:tcPr>
            <w:tcW w:w="1710" w:type="dxa"/>
          </w:tcPr>
          <w:p w:rsidR="00A01514" w:rsidRDefault="00A01514" w:rsidP="00FE3868">
            <w:pPr>
              <w:widowControl w:val="0"/>
              <w:autoSpaceDE w:val="0"/>
              <w:autoSpaceDN w:val="0"/>
              <w:adjustRightInd w:val="0"/>
            </w:pPr>
            <w:r>
              <w:t>F</w:t>
            </w:r>
          </w:p>
        </w:tc>
        <w:tc>
          <w:tcPr>
            <w:tcW w:w="352" w:type="dxa"/>
          </w:tcPr>
          <w:p w:rsidR="00A01514" w:rsidRDefault="00A01514" w:rsidP="00FE3868">
            <w:pPr>
              <w:widowControl w:val="0"/>
              <w:autoSpaceDE w:val="0"/>
              <w:autoSpaceDN w:val="0"/>
              <w:adjustRightInd w:val="0"/>
            </w:pPr>
            <w:r>
              <w:t>=</w:t>
            </w:r>
          </w:p>
        </w:tc>
        <w:tc>
          <w:tcPr>
            <w:tcW w:w="5354" w:type="dxa"/>
          </w:tcPr>
          <w:p w:rsidR="00A01514" w:rsidRDefault="00A01514" w:rsidP="00FE3868">
            <w:pPr>
              <w:widowControl w:val="0"/>
              <w:autoSpaceDE w:val="0"/>
              <w:autoSpaceDN w:val="0"/>
              <w:adjustRightInd w:val="0"/>
            </w:pPr>
            <w:r>
              <w:t>Vent stream flowrate (scm/min), at a standard temperature of 20° C;</w:t>
            </w:r>
          </w:p>
        </w:tc>
      </w:tr>
      <w:tr w:rsidR="00A01514">
        <w:tblPrEx>
          <w:tblCellMar>
            <w:top w:w="0" w:type="dxa"/>
            <w:bottom w:w="0" w:type="dxa"/>
          </w:tblCellMar>
        </w:tblPrEx>
        <w:tc>
          <w:tcPr>
            <w:tcW w:w="1710" w:type="dxa"/>
          </w:tcPr>
          <w:p w:rsidR="00A01514" w:rsidRDefault="00A01514" w:rsidP="00FE3868">
            <w:pPr>
              <w:widowControl w:val="0"/>
              <w:autoSpaceDE w:val="0"/>
              <w:autoSpaceDN w:val="0"/>
              <w:adjustRightInd w:val="0"/>
            </w:pPr>
            <w:r>
              <w:t>E</w:t>
            </w:r>
          </w:p>
        </w:tc>
        <w:tc>
          <w:tcPr>
            <w:tcW w:w="352" w:type="dxa"/>
          </w:tcPr>
          <w:p w:rsidR="00A01514" w:rsidRDefault="00A01514" w:rsidP="00FE3868">
            <w:pPr>
              <w:widowControl w:val="0"/>
              <w:autoSpaceDE w:val="0"/>
              <w:autoSpaceDN w:val="0"/>
              <w:adjustRightInd w:val="0"/>
            </w:pPr>
            <w:r>
              <w:t>=</w:t>
            </w:r>
          </w:p>
        </w:tc>
        <w:tc>
          <w:tcPr>
            <w:tcW w:w="5354" w:type="dxa"/>
          </w:tcPr>
          <w:p w:rsidR="00A01514" w:rsidRDefault="00A01514" w:rsidP="00FE3868">
            <w:pPr>
              <w:widowControl w:val="0"/>
              <w:autoSpaceDE w:val="0"/>
              <w:autoSpaceDN w:val="0"/>
              <w:adjustRightInd w:val="0"/>
            </w:pPr>
            <w:r>
              <w:t>Hourly measured emissions in kg/hr;</w:t>
            </w:r>
          </w:p>
        </w:tc>
      </w:tr>
      <w:tr w:rsidR="00A01514">
        <w:tblPrEx>
          <w:tblCellMar>
            <w:top w:w="0" w:type="dxa"/>
            <w:bottom w:w="0" w:type="dxa"/>
          </w:tblCellMar>
        </w:tblPrEx>
        <w:tc>
          <w:tcPr>
            <w:tcW w:w="1710" w:type="dxa"/>
          </w:tcPr>
          <w:p w:rsidR="00A01514" w:rsidRDefault="00A01514" w:rsidP="00FE3868">
            <w:pPr>
              <w:widowControl w:val="0"/>
              <w:autoSpaceDE w:val="0"/>
              <w:autoSpaceDN w:val="0"/>
              <w:adjustRightInd w:val="0"/>
            </w:pPr>
            <w:r>
              <w:t>H</w:t>
            </w:r>
          </w:p>
        </w:tc>
        <w:tc>
          <w:tcPr>
            <w:tcW w:w="352" w:type="dxa"/>
          </w:tcPr>
          <w:p w:rsidR="00A01514" w:rsidRDefault="00A01514" w:rsidP="00FE3868">
            <w:pPr>
              <w:widowControl w:val="0"/>
              <w:autoSpaceDE w:val="0"/>
              <w:autoSpaceDN w:val="0"/>
              <w:adjustRightInd w:val="0"/>
            </w:pPr>
            <w:r>
              <w:t>=</w:t>
            </w:r>
          </w:p>
        </w:tc>
        <w:tc>
          <w:tcPr>
            <w:tcW w:w="5354" w:type="dxa"/>
          </w:tcPr>
          <w:p w:rsidR="00A01514" w:rsidRDefault="00A01514" w:rsidP="00FE3868">
            <w:pPr>
              <w:widowControl w:val="0"/>
              <w:autoSpaceDE w:val="0"/>
              <w:autoSpaceDN w:val="0"/>
              <w:adjustRightInd w:val="0"/>
            </w:pPr>
            <w:r>
              <w:t>Net heating value of vent stream (MJ/scm), where the net enthalpy per mole of offgas is based on combustion at 25° C and 760 mmHg, but the standard temperature for determining the volume corresponding to one mole is 20° C, as in the definition of "Flow";</w:t>
            </w:r>
          </w:p>
        </w:tc>
      </w:tr>
      <w:tr w:rsidR="00A01514">
        <w:tblPrEx>
          <w:tblCellMar>
            <w:top w:w="0" w:type="dxa"/>
            <w:bottom w:w="0" w:type="dxa"/>
          </w:tblCellMar>
        </w:tblPrEx>
        <w:tc>
          <w:tcPr>
            <w:tcW w:w="1710" w:type="dxa"/>
          </w:tcPr>
          <w:p w:rsidR="00A01514" w:rsidRDefault="00A01514" w:rsidP="00FE3868">
            <w:pPr>
              <w:widowControl w:val="0"/>
              <w:autoSpaceDE w:val="0"/>
              <w:autoSpaceDN w:val="0"/>
              <w:adjustRightInd w:val="0"/>
            </w:pPr>
            <w:r>
              <w:t>a,b,c,d,e and f</w:t>
            </w:r>
          </w:p>
        </w:tc>
        <w:tc>
          <w:tcPr>
            <w:tcW w:w="352" w:type="dxa"/>
          </w:tcPr>
          <w:p w:rsidR="00A01514" w:rsidRDefault="00A01514" w:rsidP="00FE3868">
            <w:pPr>
              <w:widowControl w:val="0"/>
              <w:autoSpaceDE w:val="0"/>
              <w:autoSpaceDN w:val="0"/>
              <w:adjustRightInd w:val="0"/>
            </w:pPr>
            <w:r>
              <w:t>=</w:t>
            </w:r>
          </w:p>
        </w:tc>
        <w:tc>
          <w:tcPr>
            <w:tcW w:w="5354" w:type="dxa"/>
          </w:tcPr>
          <w:p w:rsidR="00A01514" w:rsidRDefault="00A01514" w:rsidP="00FE3868">
            <w:pPr>
              <w:widowControl w:val="0"/>
              <w:autoSpaceDE w:val="0"/>
              <w:autoSpaceDN w:val="0"/>
              <w:adjustRightInd w:val="0"/>
            </w:pPr>
            <w:r>
              <w:t>Coefficients obtained by use of Appendix D.</w:t>
            </w:r>
          </w:p>
        </w:tc>
      </w:tr>
    </w:tbl>
    <w:p w:rsidR="00656A50" w:rsidRDefault="00656A50" w:rsidP="00656A50">
      <w:pPr>
        <w:widowControl w:val="0"/>
        <w:autoSpaceDE w:val="0"/>
        <w:autoSpaceDN w:val="0"/>
        <w:adjustRightInd w:val="0"/>
        <w:ind w:left="2160" w:hanging="720"/>
      </w:pPr>
      <w:r>
        <w:t xml:space="preserve"> </w:t>
      </w:r>
    </w:p>
    <w:p w:rsidR="00656A50" w:rsidRDefault="00656A50" w:rsidP="00656A50">
      <w:pPr>
        <w:widowControl w:val="0"/>
        <w:autoSpaceDE w:val="0"/>
        <w:autoSpaceDN w:val="0"/>
        <w:adjustRightInd w:val="0"/>
        <w:ind w:left="2160" w:hanging="720"/>
      </w:pPr>
      <w:r>
        <w:t>3)</w:t>
      </w:r>
      <w:r>
        <w:tab/>
        <w:t xml:space="preserve">For nonchlorinated process vent streams, if the net heating value, H, is greater than 3.6 MJ/scm, F shall be replaced by F' for purposes of calculating TRE.  F' is computed as follows: </w:t>
      </w:r>
    </w:p>
    <w:p w:rsidR="00656A50" w:rsidRDefault="00656A50" w:rsidP="00656A50">
      <w:pPr>
        <w:widowControl w:val="0"/>
        <w:autoSpaceDE w:val="0"/>
        <w:autoSpaceDN w:val="0"/>
        <w:adjustRightInd w:val="0"/>
        <w:ind w:left="2160" w:hanging="720"/>
      </w:pPr>
    </w:p>
    <w:p w:rsidR="00C43F1D" w:rsidRDefault="00C43F1D" w:rsidP="00C43F1D">
      <w:pPr>
        <w:widowControl w:val="0"/>
        <w:autoSpaceDE w:val="0"/>
        <w:autoSpaceDN w:val="0"/>
        <w:adjustRightInd w:val="0"/>
        <w:ind w:left="2160"/>
      </w:pPr>
      <w:r w:rsidRPr="00C43F1D">
        <w:rPr>
          <w:position w:val="-6"/>
        </w:rPr>
        <w:object w:dxaOrig="1359" w:dyaOrig="279">
          <v:shape id="_x0000_i1026" type="#_x0000_t75" style="width:68.25pt;height:14.25pt" o:ole="">
            <v:imagedata r:id="rId7" o:title=""/>
          </v:shape>
          <o:OLEObject Type="Embed" ProgID="Equation.3" ShapeID="_x0000_i1026" DrawAspect="Content" ObjectID="_1401798970" r:id="rId8"/>
        </w:object>
      </w:r>
    </w:p>
    <w:p w:rsidR="00656A50" w:rsidRDefault="00656A50" w:rsidP="00656A50">
      <w:pPr>
        <w:widowControl w:val="0"/>
        <w:autoSpaceDE w:val="0"/>
        <w:autoSpaceDN w:val="0"/>
        <w:adjustRightInd w:val="0"/>
        <w:ind w:left="2160" w:hanging="720"/>
      </w:pPr>
    </w:p>
    <w:p w:rsidR="00656A50" w:rsidRDefault="00656A50" w:rsidP="00656A50">
      <w:pPr>
        <w:widowControl w:val="0"/>
        <w:autoSpaceDE w:val="0"/>
        <w:autoSpaceDN w:val="0"/>
        <w:adjustRightInd w:val="0"/>
        <w:ind w:left="2160" w:hanging="720"/>
      </w:pPr>
      <w:r>
        <w:tab/>
        <w:t xml:space="preserve">where F and H are as defined in subsection (c)(2) of this Section. </w:t>
      </w:r>
    </w:p>
    <w:p w:rsidR="00A01514" w:rsidRDefault="00A01514" w:rsidP="00656A50">
      <w:pPr>
        <w:widowControl w:val="0"/>
        <w:autoSpaceDE w:val="0"/>
        <w:autoSpaceDN w:val="0"/>
        <w:adjustRightInd w:val="0"/>
        <w:ind w:left="2160" w:hanging="720"/>
      </w:pPr>
    </w:p>
    <w:p w:rsidR="00656A50" w:rsidRDefault="00656A50" w:rsidP="00656A50">
      <w:pPr>
        <w:widowControl w:val="0"/>
        <w:autoSpaceDE w:val="0"/>
        <w:autoSpaceDN w:val="0"/>
        <w:adjustRightInd w:val="0"/>
        <w:ind w:left="2160" w:hanging="720"/>
      </w:pPr>
      <w:r>
        <w:t>4)</w:t>
      </w:r>
      <w:r>
        <w:tab/>
        <w:t xml:space="preserve">The actual numerical values used in the equation described in subsection (c)(2) shall be determined as follows: </w:t>
      </w:r>
    </w:p>
    <w:p w:rsidR="00497B9B" w:rsidRDefault="00497B9B" w:rsidP="00656A50">
      <w:pPr>
        <w:widowControl w:val="0"/>
        <w:autoSpaceDE w:val="0"/>
        <w:autoSpaceDN w:val="0"/>
        <w:adjustRightInd w:val="0"/>
        <w:ind w:left="2880" w:hanging="720"/>
      </w:pPr>
    </w:p>
    <w:p w:rsidR="00656A50" w:rsidRDefault="00656A50" w:rsidP="00656A50">
      <w:pPr>
        <w:widowControl w:val="0"/>
        <w:autoSpaceDE w:val="0"/>
        <w:autoSpaceDN w:val="0"/>
        <w:adjustRightInd w:val="0"/>
        <w:ind w:left="2880" w:hanging="720"/>
      </w:pPr>
      <w:r>
        <w:t>A)</w:t>
      </w:r>
      <w:r>
        <w:tab/>
        <w:t xml:space="preserve">All reference methods and procedures for determining the flow (F), hourly emissions (E), and net heating (H), value shall be in accordance with Appendix C. </w:t>
      </w:r>
    </w:p>
    <w:p w:rsidR="00497B9B" w:rsidRDefault="00497B9B" w:rsidP="00656A50">
      <w:pPr>
        <w:widowControl w:val="0"/>
        <w:autoSpaceDE w:val="0"/>
        <w:autoSpaceDN w:val="0"/>
        <w:adjustRightInd w:val="0"/>
        <w:ind w:left="2880" w:hanging="720"/>
      </w:pPr>
    </w:p>
    <w:p w:rsidR="00656A50" w:rsidRDefault="00656A50" w:rsidP="00656A50">
      <w:pPr>
        <w:widowControl w:val="0"/>
        <w:autoSpaceDE w:val="0"/>
        <w:autoSpaceDN w:val="0"/>
        <w:adjustRightInd w:val="0"/>
        <w:ind w:left="2880" w:hanging="720"/>
      </w:pPr>
      <w:r>
        <w:t>B)</w:t>
      </w:r>
      <w:r>
        <w:tab/>
        <w:t xml:space="preserve">All coefficients described in subsection (c)(2) of this Section shall be in accordance with Appendix D. </w:t>
      </w:r>
    </w:p>
    <w:p w:rsidR="00656A50" w:rsidRDefault="00656A50" w:rsidP="00656A50">
      <w:pPr>
        <w:widowControl w:val="0"/>
        <w:autoSpaceDE w:val="0"/>
        <w:autoSpaceDN w:val="0"/>
        <w:adjustRightInd w:val="0"/>
        <w:ind w:left="2880" w:hanging="720"/>
      </w:pPr>
    </w:p>
    <w:p w:rsidR="00656A50" w:rsidRDefault="00656A50" w:rsidP="00A01514">
      <w:pPr>
        <w:widowControl w:val="0"/>
        <w:autoSpaceDE w:val="0"/>
        <w:autoSpaceDN w:val="0"/>
        <w:adjustRightInd w:val="0"/>
        <w:ind w:left="741" w:hanging="21"/>
      </w:pPr>
      <w:r>
        <w:t xml:space="preserve">(Source:  Renumbered from Section 218.525 and amended at 18 Ill. Reg. 16950, effective November 15, 1994) </w:t>
      </w:r>
    </w:p>
    <w:sectPr w:rsidR="00656A50" w:rsidSect="00656A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6A50"/>
    <w:rsid w:val="0028244A"/>
    <w:rsid w:val="00326987"/>
    <w:rsid w:val="00497B9B"/>
    <w:rsid w:val="005C3366"/>
    <w:rsid w:val="00656A50"/>
    <w:rsid w:val="00673FDE"/>
    <w:rsid w:val="00A01514"/>
    <w:rsid w:val="00C43F1D"/>
    <w:rsid w:val="00DB6CDA"/>
    <w:rsid w:val="00FE3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