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41" w:rsidRDefault="003A2441" w:rsidP="003A2441">
      <w:pPr>
        <w:widowControl w:val="0"/>
        <w:autoSpaceDE w:val="0"/>
        <w:autoSpaceDN w:val="0"/>
        <w:adjustRightInd w:val="0"/>
      </w:pPr>
      <w:bookmarkStart w:id="0" w:name="_GoBack"/>
      <w:bookmarkEnd w:id="0"/>
    </w:p>
    <w:p w:rsidR="003A2441" w:rsidRPr="00C91CC3" w:rsidRDefault="003A2441" w:rsidP="003A2441">
      <w:pPr>
        <w:widowControl w:val="0"/>
        <w:autoSpaceDE w:val="0"/>
        <w:autoSpaceDN w:val="0"/>
        <w:adjustRightInd w:val="0"/>
        <w:rPr>
          <w:b/>
          <w:bCs/>
        </w:rPr>
      </w:pPr>
      <w:r>
        <w:rPr>
          <w:b/>
          <w:bCs/>
        </w:rPr>
        <w:t>Section 217.</w:t>
      </w:r>
      <w:r w:rsidRPr="00C91CC3">
        <w:rPr>
          <w:b/>
          <w:bCs/>
        </w:rPr>
        <w:t xml:space="preserve">762  </w:t>
      </w:r>
      <w:r w:rsidR="00C91CC3" w:rsidRPr="00C91CC3">
        <w:rPr>
          <w:b/>
          <w:bCs/>
        </w:rPr>
        <w:t xml:space="preserve">Methodology for Calculating </w:t>
      </w:r>
      <w:proofErr w:type="spellStart"/>
      <w:r w:rsidR="00C91CC3" w:rsidRPr="00C91CC3">
        <w:rPr>
          <w:b/>
          <w:bCs/>
        </w:rPr>
        <w:t>NO</w:t>
      </w:r>
      <w:r w:rsidR="00C91CC3" w:rsidRPr="00C91CC3">
        <w:rPr>
          <w:b/>
          <w:bCs/>
          <w:vertAlign w:val="subscript"/>
        </w:rPr>
        <w:t>x</w:t>
      </w:r>
      <w:proofErr w:type="spellEnd"/>
      <w:r w:rsidR="00C91CC3" w:rsidRPr="00C91CC3">
        <w:rPr>
          <w:b/>
          <w:bCs/>
        </w:rPr>
        <w:t xml:space="preserve"> Allocations for Budget Electrical Generating Units (EGUs)</w:t>
      </w:r>
    </w:p>
    <w:p w:rsidR="003A2441" w:rsidRDefault="003A2441" w:rsidP="003A2441">
      <w:pPr>
        <w:widowControl w:val="0"/>
        <w:autoSpaceDE w:val="0"/>
        <w:autoSpaceDN w:val="0"/>
        <w:adjustRightInd w:val="0"/>
      </w:pPr>
    </w:p>
    <w:p w:rsidR="003A2441" w:rsidRDefault="003A2441" w:rsidP="003A2441">
      <w:pPr>
        <w:widowControl w:val="0"/>
        <w:autoSpaceDE w:val="0"/>
        <w:autoSpaceDN w:val="0"/>
        <w:adjustRightInd w:val="0"/>
      </w:pPr>
      <w:r>
        <w:t xml:space="preserve">The methodology for calculating the allowances to be allocated to budget EGUs is based on the following emission rates and heat inputs: </w:t>
      </w:r>
    </w:p>
    <w:p w:rsidR="00EC5F08" w:rsidRDefault="00EC5F08" w:rsidP="003A2441">
      <w:pPr>
        <w:widowControl w:val="0"/>
        <w:autoSpaceDE w:val="0"/>
        <w:autoSpaceDN w:val="0"/>
        <w:adjustRightInd w:val="0"/>
      </w:pPr>
    </w:p>
    <w:p w:rsidR="003A2441" w:rsidRDefault="003A2441" w:rsidP="003A2441">
      <w:pPr>
        <w:widowControl w:val="0"/>
        <w:autoSpaceDE w:val="0"/>
        <w:autoSpaceDN w:val="0"/>
        <w:adjustRightInd w:val="0"/>
        <w:ind w:left="1440" w:hanging="720"/>
      </w:pPr>
      <w:r>
        <w:t>a)</w:t>
      </w:r>
      <w:r>
        <w:tab/>
        <w:t xml:space="preserve">The applicable </w:t>
      </w:r>
      <w:proofErr w:type="spellStart"/>
      <w:r>
        <w:t>NO</w:t>
      </w:r>
      <w:r w:rsidR="00B64B26" w:rsidRPr="00B64B26">
        <w:rPr>
          <w:vertAlign w:val="subscript"/>
        </w:rPr>
        <w:t>x</w:t>
      </w:r>
      <w:proofErr w:type="spellEnd"/>
      <w:r w:rsidR="00B64B26">
        <w:t xml:space="preserve"> emission </w:t>
      </w:r>
      <w:r>
        <w:t xml:space="preserve">rates are as follows: </w:t>
      </w:r>
    </w:p>
    <w:p w:rsidR="00EC5F08" w:rsidRDefault="00EC5F08" w:rsidP="003A2441">
      <w:pPr>
        <w:widowControl w:val="0"/>
        <w:autoSpaceDE w:val="0"/>
        <w:autoSpaceDN w:val="0"/>
        <w:adjustRightInd w:val="0"/>
        <w:ind w:left="2160" w:hanging="720"/>
      </w:pPr>
    </w:p>
    <w:p w:rsidR="003A2441" w:rsidRDefault="003A2441" w:rsidP="003A2441">
      <w:pPr>
        <w:widowControl w:val="0"/>
        <w:autoSpaceDE w:val="0"/>
        <w:autoSpaceDN w:val="0"/>
        <w:adjustRightInd w:val="0"/>
        <w:ind w:left="2160" w:hanging="720"/>
      </w:pPr>
      <w:r>
        <w:t>1)</w:t>
      </w:r>
      <w:r>
        <w:tab/>
        <w:t xml:space="preserve">For budget EGUs listed in Appendix F:  0.15 </w:t>
      </w:r>
      <w:proofErr w:type="spellStart"/>
      <w:r>
        <w:t>lb</w:t>
      </w:r>
      <w:proofErr w:type="spellEnd"/>
      <w:r>
        <w:t>/</w:t>
      </w:r>
      <w:proofErr w:type="spellStart"/>
      <w:r>
        <w:t>mmbtu</w:t>
      </w:r>
      <w:proofErr w:type="spellEnd"/>
      <w:r>
        <w:t xml:space="preserve">. </w:t>
      </w:r>
    </w:p>
    <w:p w:rsidR="00EC5F08" w:rsidRDefault="00EC5F08" w:rsidP="003A2441">
      <w:pPr>
        <w:widowControl w:val="0"/>
        <w:autoSpaceDE w:val="0"/>
        <w:autoSpaceDN w:val="0"/>
        <w:adjustRightInd w:val="0"/>
        <w:ind w:left="2160" w:hanging="720"/>
      </w:pPr>
    </w:p>
    <w:p w:rsidR="003A2441" w:rsidRDefault="003A2441" w:rsidP="003A2441">
      <w:pPr>
        <w:widowControl w:val="0"/>
        <w:autoSpaceDE w:val="0"/>
        <w:autoSpaceDN w:val="0"/>
        <w:adjustRightInd w:val="0"/>
        <w:ind w:left="2160" w:hanging="720"/>
      </w:pPr>
      <w:r>
        <w:t>2)</w:t>
      </w:r>
      <w:r>
        <w:tab/>
        <w:t xml:space="preserve">For budget EGUs not listed in Appendix F:  The more stringent of 0.15 </w:t>
      </w:r>
      <w:proofErr w:type="spellStart"/>
      <w:r>
        <w:t>lb</w:t>
      </w:r>
      <w:proofErr w:type="spellEnd"/>
      <w:r>
        <w:t>/</w:t>
      </w:r>
      <w:proofErr w:type="spellStart"/>
      <w:r>
        <w:t>mmbtu</w:t>
      </w:r>
      <w:proofErr w:type="spellEnd"/>
      <w:r>
        <w:t xml:space="preserve"> or the permitted </w:t>
      </w:r>
      <w:proofErr w:type="spellStart"/>
      <w:r>
        <w:t>NO</w:t>
      </w:r>
      <w:r w:rsidR="00B64B26" w:rsidRPr="00B64B26">
        <w:rPr>
          <w:vertAlign w:val="subscript"/>
        </w:rPr>
        <w:t>x</w:t>
      </w:r>
      <w:proofErr w:type="spellEnd"/>
      <w:r w:rsidR="00B64B26">
        <w:t xml:space="preserve"> emission rate but not less</w:t>
      </w:r>
      <w:r>
        <w:t xml:space="preserve"> than 0.055 </w:t>
      </w:r>
      <w:proofErr w:type="spellStart"/>
      <w:r>
        <w:t>lb</w:t>
      </w:r>
      <w:proofErr w:type="spellEnd"/>
      <w:r>
        <w:t>/</w:t>
      </w:r>
      <w:proofErr w:type="spellStart"/>
      <w:r>
        <w:t>mmbtu</w:t>
      </w:r>
      <w:proofErr w:type="spellEnd"/>
      <w:r>
        <w:t xml:space="preserve">. </w:t>
      </w:r>
    </w:p>
    <w:p w:rsidR="00EC5F08" w:rsidRDefault="00EC5F08" w:rsidP="003A2441">
      <w:pPr>
        <w:widowControl w:val="0"/>
        <w:autoSpaceDE w:val="0"/>
        <w:autoSpaceDN w:val="0"/>
        <w:adjustRightInd w:val="0"/>
        <w:ind w:left="1440" w:hanging="720"/>
      </w:pPr>
    </w:p>
    <w:p w:rsidR="003A2441" w:rsidRDefault="003A2441" w:rsidP="003A2441">
      <w:pPr>
        <w:widowControl w:val="0"/>
        <w:autoSpaceDE w:val="0"/>
        <w:autoSpaceDN w:val="0"/>
        <w:adjustRightInd w:val="0"/>
        <w:ind w:left="1440" w:hanging="720"/>
      </w:pPr>
      <w:r>
        <w:t>b)</w:t>
      </w:r>
      <w:r>
        <w:tab/>
        <w:t xml:space="preserve">Heat input (HI) (in </w:t>
      </w:r>
      <w:proofErr w:type="spellStart"/>
      <w:r>
        <w:t>mmbtu</w:t>
      </w:r>
      <w:proofErr w:type="spellEnd"/>
      <w:r>
        <w:t xml:space="preserve">/control period) is determined as follows: </w:t>
      </w:r>
    </w:p>
    <w:p w:rsidR="00EC5F08" w:rsidRDefault="00EC5F08" w:rsidP="003A2441">
      <w:pPr>
        <w:widowControl w:val="0"/>
        <w:autoSpaceDE w:val="0"/>
        <w:autoSpaceDN w:val="0"/>
        <w:adjustRightInd w:val="0"/>
        <w:ind w:left="2160" w:hanging="720"/>
      </w:pPr>
    </w:p>
    <w:p w:rsidR="003A2441" w:rsidRDefault="003A2441" w:rsidP="003A2441">
      <w:pPr>
        <w:widowControl w:val="0"/>
        <w:autoSpaceDE w:val="0"/>
        <w:autoSpaceDN w:val="0"/>
        <w:adjustRightInd w:val="0"/>
        <w:ind w:left="2160" w:hanging="720"/>
      </w:pPr>
      <w:r>
        <w:t>1)</w:t>
      </w:r>
      <w:r>
        <w:tab/>
        <w:t xml:space="preserve">The budget EGU's two highest heat inputs from the control periods four to six years prior to the year for which the allocation is being made are averaged.  However, for a budget EGU that did not commence commercial operation at least six years prior to the control period for which the allocation is being made, the heat inputs for the following control periods shall be used: </w:t>
      </w:r>
    </w:p>
    <w:p w:rsidR="00EC5F08" w:rsidRDefault="00EC5F08" w:rsidP="003A2441">
      <w:pPr>
        <w:widowControl w:val="0"/>
        <w:autoSpaceDE w:val="0"/>
        <w:autoSpaceDN w:val="0"/>
        <w:adjustRightInd w:val="0"/>
        <w:ind w:left="2880" w:hanging="720"/>
      </w:pPr>
    </w:p>
    <w:p w:rsidR="003A2441" w:rsidRDefault="003A2441" w:rsidP="003A2441">
      <w:pPr>
        <w:widowControl w:val="0"/>
        <w:autoSpaceDE w:val="0"/>
        <w:autoSpaceDN w:val="0"/>
        <w:adjustRightInd w:val="0"/>
        <w:ind w:left="2880" w:hanging="720"/>
      </w:pPr>
      <w:r>
        <w:t>A)</w:t>
      </w:r>
      <w:r>
        <w:tab/>
        <w:t xml:space="preserve">If the budget EGU has heat input for the control period four years prior to the year for which the </w:t>
      </w:r>
      <w:proofErr w:type="spellStart"/>
      <w:r>
        <w:t>NO</w:t>
      </w:r>
      <w:r w:rsidR="00B64B26" w:rsidRPr="00B64B26">
        <w:rPr>
          <w:vertAlign w:val="subscript"/>
        </w:rPr>
        <w:t>x</w:t>
      </w:r>
      <w:proofErr w:type="spellEnd"/>
      <w:r w:rsidR="00B64B26">
        <w:t xml:space="preserve"> allocation is being </w:t>
      </w:r>
      <w:r>
        <w:t xml:space="preserve">made, but not for the control periods five and six years prior, the heat input for that control period four years prior shall be used; or </w:t>
      </w:r>
    </w:p>
    <w:p w:rsidR="00EC5F08" w:rsidRDefault="00EC5F08" w:rsidP="003A2441">
      <w:pPr>
        <w:widowControl w:val="0"/>
        <w:autoSpaceDE w:val="0"/>
        <w:autoSpaceDN w:val="0"/>
        <w:adjustRightInd w:val="0"/>
        <w:ind w:left="2880" w:hanging="720"/>
      </w:pPr>
    </w:p>
    <w:p w:rsidR="003A2441" w:rsidRDefault="003A2441" w:rsidP="003A2441">
      <w:pPr>
        <w:widowControl w:val="0"/>
        <w:autoSpaceDE w:val="0"/>
        <w:autoSpaceDN w:val="0"/>
        <w:adjustRightInd w:val="0"/>
        <w:ind w:left="2880" w:hanging="720"/>
      </w:pPr>
      <w:r>
        <w:t>B)</w:t>
      </w:r>
      <w:r>
        <w:tab/>
        <w:t xml:space="preserve">If the budget EGU has heat inputs for the control periods four and five years prior to the year for which the </w:t>
      </w:r>
      <w:proofErr w:type="spellStart"/>
      <w:r>
        <w:t>NO</w:t>
      </w:r>
      <w:r w:rsidRPr="00B64B26">
        <w:rPr>
          <w:vertAlign w:val="subscript"/>
        </w:rPr>
        <w:t>x</w:t>
      </w:r>
      <w:proofErr w:type="spellEnd"/>
      <w:r w:rsidR="00B64B26">
        <w:t xml:space="preserve"> allocation is </w:t>
      </w:r>
      <w:r>
        <w:t xml:space="preserve">being made, but not for the control period six years prior, the heat input for the control periods four and five years prior shall be averaged. </w:t>
      </w:r>
    </w:p>
    <w:p w:rsidR="00EC5F08" w:rsidRDefault="00EC5F08" w:rsidP="003A2441">
      <w:pPr>
        <w:widowControl w:val="0"/>
        <w:autoSpaceDE w:val="0"/>
        <w:autoSpaceDN w:val="0"/>
        <w:adjustRightInd w:val="0"/>
        <w:ind w:left="2160" w:hanging="720"/>
      </w:pPr>
    </w:p>
    <w:p w:rsidR="003A2441" w:rsidRDefault="003A2441" w:rsidP="003A2441">
      <w:pPr>
        <w:widowControl w:val="0"/>
        <w:autoSpaceDE w:val="0"/>
        <w:autoSpaceDN w:val="0"/>
        <w:adjustRightInd w:val="0"/>
        <w:ind w:left="2160" w:hanging="720"/>
      </w:pPr>
      <w:r>
        <w:t>2)</w:t>
      </w:r>
      <w:r>
        <w:tab/>
        <w:t xml:space="preserve">The budget EGU's heat input in subsection (b)(1) of this Section for the control period in each year will be determined in accordance with: </w:t>
      </w:r>
    </w:p>
    <w:p w:rsidR="00EC5F08" w:rsidRDefault="00EC5F08" w:rsidP="003A2441">
      <w:pPr>
        <w:widowControl w:val="0"/>
        <w:autoSpaceDE w:val="0"/>
        <w:autoSpaceDN w:val="0"/>
        <w:adjustRightInd w:val="0"/>
        <w:ind w:left="2880" w:hanging="720"/>
      </w:pPr>
    </w:p>
    <w:p w:rsidR="003A2441" w:rsidRDefault="003A2441" w:rsidP="003A2441">
      <w:pPr>
        <w:widowControl w:val="0"/>
        <w:autoSpaceDE w:val="0"/>
        <w:autoSpaceDN w:val="0"/>
        <w:adjustRightInd w:val="0"/>
        <w:ind w:left="2880" w:hanging="720"/>
      </w:pPr>
      <w:r>
        <w:t>A)</w:t>
      </w:r>
      <w:r>
        <w:tab/>
        <w:t xml:space="preserve">40 CFR 75, as incorporated by reference in Section 217.104 of this Part, if the budget EGU was otherwise subject to its requirements for the year; or </w:t>
      </w:r>
    </w:p>
    <w:p w:rsidR="00EC5F08" w:rsidRDefault="00EC5F08" w:rsidP="003A2441">
      <w:pPr>
        <w:widowControl w:val="0"/>
        <w:autoSpaceDE w:val="0"/>
        <w:autoSpaceDN w:val="0"/>
        <w:adjustRightInd w:val="0"/>
        <w:ind w:left="2880" w:hanging="720"/>
      </w:pPr>
    </w:p>
    <w:p w:rsidR="003A2441" w:rsidRDefault="003A2441" w:rsidP="003A2441">
      <w:pPr>
        <w:widowControl w:val="0"/>
        <w:autoSpaceDE w:val="0"/>
        <w:autoSpaceDN w:val="0"/>
        <w:adjustRightInd w:val="0"/>
        <w:ind w:left="2880" w:hanging="720"/>
      </w:pPr>
      <w:r>
        <w:t>B)</w:t>
      </w:r>
      <w:r>
        <w:tab/>
        <w:t xml:space="preserve">The best available data reported to the Agency for the budget EGU if the budget EGU was not subject to the requirements of 40 CFR 75, for the year. </w:t>
      </w:r>
    </w:p>
    <w:p w:rsidR="00EC5F08" w:rsidRDefault="00EC5F08" w:rsidP="003A2441">
      <w:pPr>
        <w:widowControl w:val="0"/>
        <w:autoSpaceDE w:val="0"/>
        <w:autoSpaceDN w:val="0"/>
        <w:adjustRightInd w:val="0"/>
        <w:ind w:left="1440" w:hanging="720"/>
      </w:pPr>
    </w:p>
    <w:p w:rsidR="003A2441" w:rsidRDefault="003A2441" w:rsidP="003A2441">
      <w:pPr>
        <w:widowControl w:val="0"/>
        <w:autoSpaceDE w:val="0"/>
        <w:autoSpaceDN w:val="0"/>
        <w:adjustRightInd w:val="0"/>
        <w:ind w:left="1440" w:hanging="720"/>
      </w:pPr>
      <w:r>
        <w:t>c)</w:t>
      </w:r>
      <w:r>
        <w:tab/>
        <w:t xml:space="preserve">The general equation for determining allowances is: </w:t>
      </w:r>
    </w:p>
    <w:p w:rsidR="00B741A5" w:rsidRDefault="00B741A5" w:rsidP="003A2441">
      <w:pPr>
        <w:widowControl w:val="0"/>
        <w:autoSpaceDE w:val="0"/>
        <w:autoSpaceDN w:val="0"/>
        <w:adjustRightInd w:val="0"/>
        <w:ind w:left="1440" w:hanging="720"/>
      </w:pPr>
    </w:p>
    <w:tbl>
      <w:tblPr>
        <w:tblW w:w="0" w:type="auto"/>
        <w:tblInd w:w="3015" w:type="dxa"/>
        <w:tblLook w:val="0000" w:firstRow="0" w:lastRow="0" w:firstColumn="0" w:lastColumn="0" w:noHBand="0" w:noVBand="0"/>
      </w:tblPr>
      <w:tblGrid>
        <w:gridCol w:w="399"/>
        <w:gridCol w:w="352"/>
        <w:gridCol w:w="1016"/>
      </w:tblGrid>
      <w:tr w:rsidR="00B741A5">
        <w:tblPrEx>
          <w:tblCellMar>
            <w:top w:w="0" w:type="dxa"/>
            <w:bottom w:w="0" w:type="dxa"/>
          </w:tblCellMar>
        </w:tblPrEx>
        <w:tc>
          <w:tcPr>
            <w:tcW w:w="399" w:type="dxa"/>
            <w:vMerge w:val="restart"/>
            <w:vAlign w:val="center"/>
          </w:tcPr>
          <w:p w:rsidR="00B741A5" w:rsidRDefault="00B741A5" w:rsidP="003A2441">
            <w:pPr>
              <w:widowControl w:val="0"/>
              <w:autoSpaceDE w:val="0"/>
              <w:autoSpaceDN w:val="0"/>
              <w:adjustRightInd w:val="0"/>
            </w:pPr>
            <w:r>
              <w:t>A</w:t>
            </w:r>
          </w:p>
        </w:tc>
        <w:tc>
          <w:tcPr>
            <w:tcW w:w="352" w:type="dxa"/>
            <w:vMerge w:val="restart"/>
            <w:vAlign w:val="center"/>
          </w:tcPr>
          <w:p w:rsidR="00B741A5" w:rsidRDefault="00B741A5" w:rsidP="003A2441">
            <w:pPr>
              <w:widowControl w:val="0"/>
              <w:autoSpaceDE w:val="0"/>
              <w:autoSpaceDN w:val="0"/>
              <w:adjustRightInd w:val="0"/>
            </w:pPr>
            <w:r>
              <w:t>=</w:t>
            </w:r>
          </w:p>
        </w:tc>
        <w:tc>
          <w:tcPr>
            <w:tcW w:w="1016" w:type="dxa"/>
            <w:tcBorders>
              <w:bottom w:val="single" w:sz="4" w:space="0" w:color="auto"/>
            </w:tcBorders>
          </w:tcPr>
          <w:p w:rsidR="00B741A5" w:rsidRDefault="00B741A5" w:rsidP="00B741A5">
            <w:pPr>
              <w:widowControl w:val="0"/>
              <w:autoSpaceDE w:val="0"/>
              <w:autoSpaceDN w:val="0"/>
              <w:adjustRightInd w:val="0"/>
              <w:jc w:val="center"/>
            </w:pPr>
            <w:r>
              <w:t>HI x ER</w:t>
            </w:r>
          </w:p>
        </w:tc>
      </w:tr>
      <w:tr w:rsidR="00B741A5">
        <w:tblPrEx>
          <w:tblCellMar>
            <w:top w:w="0" w:type="dxa"/>
            <w:bottom w:w="0" w:type="dxa"/>
          </w:tblCellMar>
        </w:tblPrEx>
        <w:tc>
          <w:tcPr>
            <w:tcW w:w="399" w:type="dxa"/>
            <w:vMerge/>
          </w:tcPr>
          <w:p w:rsidR="00B741A5" w:rsidRDefault="00B741A5" w:rsidP="003A2441">
            <w:pPr>
              <w:widowControl w:val="0"/>
              <w:autoSpaceDE w:val="0"/>
              <w:autoSpaceDN w:val="0"/>
              <w:adjustRightInd w:val="0"/>
            </w:pPr>
          </w:p>
        </w:tc>
        <w:tc>
          <w:tcPr>
            <w:tcW w:w="352" w:type="dxa"/>
            <w:vMerge/>
          </w:tcPr>
          <w:p w:rsidR="00B741A5" w:rsidRDefault="00B741A5" w:rsidP="003A2441">
            <w:pPr>
              <w:widowControl w:val="0"/>
              <w:autoSpaceDE w:val="0"/>
              <w:autoSpaceDN w:val="0"/>
              <w:adjustRightInd w:val="0"/>
            </w:pPr>
          </w:p>
        </w:tc>
        <w:tc>
          <w:tcPr>
            <w:tcW w:w="1016" w:type="dxa"/>
            <w:tcBorders>
              <w:top w:val="single" w:sz="4" w:space="0" w:color="auto"/>
            </w:tcBorders>
          </w:tcPr>
          <w:p w:rsidR="00B741A5" w:rsidRDefault="00B741A5" w:rsidP="00B741A5">
            <w:pPr>
              <w:widowControl w:val="0"/>
              <w:autoSpaceDE w:val="0"/>
              <w:autoSpaceDN w:val="0"/>
              <w:adjustRightInd w:val="0"/>
              <w:jc w:val="center"/>
            </w:pPr>
            <w:r>
              <w:t>2000</w:t>
            </w:r>
          </w:p>
        </w:tc>
      </w:tr>
    </w:tbl>
    <w:p w:rsidR="003A2441" w:rsidRDefault="003A2441" w:rsidP="003A2441">
      <w:pPr>
        <w:widowControl w:val="0"/>
        <w:autoSpaceDE w:val="0"/>
        <w:autoSpaceDN w:val="0"/>
        <w:adjustRightInd w:val="0"/>
        <w:ind w:left="4320" w:hanging="720"/>
      </w:pPr>
    </w:p>
    <w:p w:rsidR="003A2441" w:rsidRDefault="003A2441" w:rsidP="003A2441">
      <w:pPr>
        <w:widowControl w:val="0"/>
        <w:autoSpaceDE w:val="0"/>
        <w:autoSpaceDN w:val="0"/>
        <w:adjustRightInd w:val="0"/>
        <w:ind w:left="2160" w:hanging="720"/>
      </w:pPr>
      <w:r>
        <w:tab/>
        <w:t xml:space="preserve">Where: </w:t>
      </w:r>
    </w:p>
    <w:p w:rsidR="00B741A5" w:rsidRDefault="00B741A5" w:rsidP="003A2441">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572"/>
        <w:gridCol w:w="352"/>
        <w:gridCol w:w="5696"/>
      </w:tblGrid>
      <w:tr w:rsidR="00B741A5">
        <w:tblPrEx>
          <w:tblCellMar>
            <w:top w:w="0" w:type="dxa"/>
            <w:bottom w:w="0" w:type="dxa"/>
          </w:tblCellMar>
        </w:tblPrEx>
        <w:tc>
          <w:tcPr>
            <w:tcW w:w="572" w:type="dxa"/>
          </w:tcPr>
          <w:p w:rsidR="00B741A5" w:rsidRDefault="00B741A5" w:rsidP="003A2441">
            <w:pPr>
              <w:widowControl w:val="0"/>
              <w:autoSpaceDE w:val="0"/>
              <w:autoSpaceDN w:val="0"/>
              <w:adjustRightInd w:val="0"/>
            </w:pPr>
            <w:r>
              <w:t>HI</w:t>
            </w:r>
          </w:p>
        </w:tc>
        <w:tc>
          <w:tcPr>
            <w:tcW w:w="352" w:type="dxa"/>
          </w:tcPr>
          <w:p w:rsidR="00B741A5" w:rsidRDefault="00B741A5" w:rsidP="00B741A5">
            <w:pPr>
              <w:widowControl w:val="0"/>
              <w:autoSpaceDE w:val="0"/>
              <w:autoSpaceDN w:val="0"/>
              <w:adjustRightInd w:val="0"/>
              <w:jc w:val="center"/>
            </w:pPr>
            <w:r>
              <w:t>=</w:t>
            </w:r>
          </w:p>
        </w:tc>
        <w:tc>
          <w:tcPr>
            <w:tcW w:w="5696" w:type="dxa"/>
          </w:tcPr>
          <w:p w:rsidR="00B741A5" w:rsidRDefault="00B741A5" w:rsidP="00B741A5">
            <w:pPr>
              <w:widowControl w:val="0"/>
              <w:autoSpaceDE w:val="0"/>
              <w:autoSpaceDN w:val="0"/>
              <w:adjustRightInd w:val="0"/>
            </w:pPr>
            <w:r>
              <w:t xml:space="preserve">heat input (in </w:t>
            </w:r>
            <w:proofErr w:type="spellStart"/>
            <w:r>
              <w:t>mmbtu</w:t>
            </w:r>
            <w:proofErr w:type="spellEnd"/>
            <w:r>
              <w:t>/control period) as determined in Section 217.762(b) of this Part.</w:t>
            </w:r>
          </w:p>
        </w:tc>
      </w:tr>
      <w:tr w:rsidR="00B741A5">
        <w:tblPrEx>
          <w:tblCellMar>
            <w:top w:w="0" w:type="dxa"/>
            <w:bottom w:w="0" w:type="dxa"/>
          </w:tblCellMar>
        </w:tblPrEx>
        <w:trPr>
          <w:trHeight w:val="600"/>
        </w:trPr>
        <w:tc>
          <w:tcPr>
            <w:tcW w:w="572" w:type="dxa"/>
          </w:tcPr>
          <w:p w:rsidR="00B741A5" w:rsidRDefault="00B741A5" w:rsidP="003A2441">
            <w:pPr>
              <w:widowControl w:val="0"/>
              <w:autoSpaceDE w:val="0"/>
              <w:autoSpaceDN w:val="0"/>
              <w:adjustRightInd w:val="0"/>
            </w:pPr>
            <w:r>
              <w:t>ER</w:t>
            </w:r>
          </w:p>
        </w:tc>
        <w:tc>
          <w:tcPr>
            <w:tcW w:w="352" w:type="dxa"/>
          </w:tcPr>
          <w:p w:rsidR="00B741A5" w:rsidRDefault="00B741A5" w:rsidP="00B741A5">
            <w:pPr>
              <w:widowControl w:val="0"/>
              <w:autoSpaceDE w:val="0"/>
              <w:autoSpaceDN w:val="0"/>
              <w:adjustRightInd w:val="0"/>
              <w:jc w:val="center"/>
            </w:pPr>
            <w:r>
              <w:t>=</w:t>
            </w:r>
          </w:p>
        </w:tc>
        <w:tc>
          <w:tcPr>
            <w:tcW w:w="5696" w:type="dxa"/>
          </w:tcPr>
          <w:p w:rsidR="00B741A5" w:rsidRDefault="00B741A5" w:rsidP="00B741A5">
            <w:pPr>
              <w:widowControl w:val="0"/>
              <w:autoSpaceDE w:val="0"/>
              <w:autoSpaceDN w:val="0"/>
              <w:adjustRightInd w:val="0"/>
            </w:pPr>
            <w:r>
              <w:t xml:space="preserve">The </w:t>
            </w:r>
            <w:proofErr w:type="spellStart"/>
            <w:r>
              <w:t>NO</w:t>
            </w:r>
            <w:r w:rsidRPr="00B64B26">
              <w:rPr>
                <w:vertAlign w:val="subscript"/>
              </w:rPr>
              <w:t>x</w:t>
            </w:r>
            <w:proofErr w:type="spellEnd"/>
            <w:r>
              <w:t xml:space="preserve"> emission rate in </w:t>
            </w:r>
            <w:proofErr w:type="spellStart"/>
            <w:r>
              <w:t>lbs</w:t>
            </w:r>
            <w:proofErr w:type="spellEnd"/>
            <w:r>
              <w:t>/</w:t>
            </w:r>
            <w:proofErr w:type="spellStart"/>
            <w:r>
              <w:t>mmbtu</w:t>
            </w:r>
            <w:proofErr w:type="spellEnd"/>
            <w:r>
              <w:t xml:space="preserve"> as determined in Section 217.762(a) of this Part. </w:t>
            </w:r>
          </w:p>
        </w:tc>
      </w:tr>
      <w:tr w:rsidR="00B741A5">
        <w:tblPrEx>
          <w:tblCellMar>
            <w:top w:w="0" w:type="dxa"/>
            <w:bottom w:w="0" w:type="dxa"/>
          </w:tblCellMar>
        </w:tblPrEx>
        <w:tc>
          <w:tcPr>
            <w:tcW w:w="572" w:type="dxa"/>
          </w:tcPr>
          <w:p w:rsidR="00B741A5" w:rsidRDefault="00B741A5" w:rsidP="003A2441">
            <w:pPr>
              <w:widowControl w:val="0"/>
              <w:autoSpaceDE w:val="0"/>
              <w:autoSpaceDN w:val="0"/>
              <w:adjustRightInd w:val="0"/>
            </w:pPr>
            <w:r>
              <w:t>A</w:t>
            </w:r>
          </w:p>
        </w:tc>
        <w:tc>
          <w:tcPr>
            <w:tcW w:w="352" w:type="dxa"/>
          </w:tcPr>
          <w:p w:rsidR="00B741A5" w:rsidRDefault="00B741A5" w:rsidP="00B741A5">
            <w:pPr>
              <w:widowControl w:val="0"/>
              <w:autoSpaceDE w:val="0"/>
              <w:autoSpaceDN w:val="0"/>
              <w:adjustRightInd w:val="0"/>
              <w:jc w:val="center"/>
            </w:pPr>
            <w:r>
              <w:t>=</w:t>
            </w:r>
          </w:p>
        </w:tc>
        <w:tc>
          <w:tcPr>
            <w:tcW w:w="5696" w:type="dxa"/>
          </w:tcPr>
          <w:p w:rsidR="00B741A5" w:rsidRDefault="00B741A5" w:rsidP="00B741A5">
            <w:pPr>
              <w:widowControl w:val="0"/>
              <w:autoSpaceDE w:val="0"/>
              <w:autoSpaceDN w:val="0"/>
              <w:adjustRightInd w:val="0"/>
            </w:pPr>
            <w:r>
              <w:t xml:space="preserve">allowances of </w:t>
            </w:r>
            <w:proofErr w:type="spellStart"/>
            <w:r>
              <w:t>NO</w:t>
            </w:r>
            <w:r w:rsidRPr="00B64B26">
              <w:rPr>
                <w:vertAlign w:val="subscript"/>
              </w:rPr>
              <w:t>x</w:t>
            </w:r>
            <w:proofErr w:type="spellEnd"/>
            <w:r>
              <w:t>/control period.</w:t>
            </w:r>
          </w:p>
        </w:tc>
      </w:tr>
    </w:tbl>
    <w:p w:rsidR="003A2441" w:rsidRDefault="003A2441" w:rsidP="003A2441">
      <w:pPr>
        <w:widowControl w:val="0"/>
        <w:autoSpaceDE w:val="0"/>
        <w:autoSpaceDN w:val="0"/>
        <w:adjustRightInd w:val="0"/>
        <w:ind w:left="2880" w:hanging="720"/>
      </w:pPr>
    </w:p>
    <w:p w:rsidR="003A2441" w:rsidRDefault="003A2441" w:rsidP="003A2441">
      <w:pPr>
        <w:widowControl w:val="0"/>
        <w:autoSpaceDE w:val="0"/>
        <w:autoSpaceDN w:val="0"/>
        <w:adjustRightInd w:val="0"/>
        <w:ind w:left="1440" w:hanging="720"/>
      </w:pPr>
      <w:r>
        <w:t xml:space="preserve">(Source:  Added at 25 Ill. Reg. 128, effective December 26, 2000) </w:t>
      </w:r>
    </w:p>
    <w:sectPr w:rsidR="003A2441" w:rsidSect="003A24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441"/>
    <w:rsid w:val="00380FE0"/>
    <w:rsid w:val="003A2441"/>
    <w:rsid w:val="005C3366"/>
    <w:rsid w:val="008A2364"/>
    <w:rsid w:val="00B64B26"/>
    <w:rsid w:val="00B741A5"/>
    <w:rsid w:val="00C91CC3"/>
    <w:rsid w:val="00CB2228"/>
    <w:rsid w:val="00EC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