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11C1" w14:textId="77777777" w:rsidR="00EF4D95" w:rsidRPr="00EF4D95" w:rsidRDefault="00EF4D95" w:rsidP="00EF4D95"/>
    <w:p w14:paraId="5C8108D4" w14:textId="77777777" w:rsidR="00EF4D95" w:rsidRPr="00EF4D95" w:rsidRDefault="00EF4D95" w:rsidP="00EF4D95">
      <w:pPr>
        <w:rPr>
          <w:b/>
          <w:bCs/>
          <w:color w:val="000000"/>
        </w:rPr>
      </w:pPr>
      <w:r w:rsidRPr="00EF4D95">
        <w:rPr>
          <w:b/>
          <w:color w:val="000000"/>
        </w:rPr>
        <w:t xml:space="preserve">Section 217.158  Emissions Averaging Plans </w:t>
      </w:r>
    </w:p>
    <w:p w14:paraId="5D3CA68C" w14:textId="77777777" w:rsidR="00EF4D95" w:rsidRPr="00EF4D95" w:rsidRDefault="00EF4D95" w:rsidP="00EF4D95">
      <w:pPr>
        <w:rPr>
          <w:color w:val="000000"/>
        </w:rPr>
      </w:pPr>
    </w:p>
    <w:p w14:paraId="7ACE3A86" w14:textId="4747228F" w:rsidR="00EF4D95" w:rsidRPr="00EF4D95" w:rsidRDefault="00EF4D95" w:rsidP="00EF4D95">
      <w:pPr>
        <w:ind w:left="1440" w:hanging="720"/>
      </w:pPr>
      <w:r w:rsidRPr="00EF4D95">
        <w:t>a)</w:t>
      </w:r>
      <w:r>
        <w:tab/>
      </w:r>
      <w:r w:rsidRPr="00EF4D95">
        <w:t xml:space="preserve">Notwithstanding any other emissions averaging plan provisions under this Part, an owner or operator of a source with certain emission units subject to Subpart E, F, G, H, </w:t>
      </w:r>
      <w:r w:rsidR="002140AE">
        <w:t xml:space="preserve">I, </w:t>
      </w:r>
      <w:r w:rsidRPr="00EF4D95">
        <w:t>or M of this Part, or subject to Subpart Q of this Part that are located in either one of the areas set forth under Section 217.150(a)(1)(A)</w:t>
      </w:r>
      <w:r w:rsidR="003C251B">
        <w:t>(i)</w:t>
      </w:r>
      <w:r w:rsidRPr="00EF4D95">
        <w:t xml:space="preserve"> or (</w:t>
      </w:r>
      <w:r w:rsidR="003C251B">
        <w:t>ii</w:t>
      </w:r>
      <w:r w:rsidRPr="00EF4D95">
        <w:t>)</w:t>
      </w:r>
      <w:r w:rsidR="009B5C46" w:rsidRPr="009B5C46">
        <w:rPr>
          <w:szCs w:val="24"/>
        </w:rPr>
        <w:t xml:space="preserve"> </w:t>
      </w:r>
      <w:r w:rsidR="009B5C46">
        <w:rPr>
          <w:szCs w:val="24"/>
        </w:rPr>
        <w:t>or Section 217.150(a)(2)(A)(i) or (ii)</w:t>
      </w:r>
      <w:r w:rsidRPr="00EF4D95">
        <w:t xml:space="preserve">, may demonstrate compliance with the applicable Subpart through an emissions averaging plan.  An emissions averaging plan can only address emission units that are located at one source and each unit may only be covered by one emissions averaging plan.  </w:t>
      </w:r>
      <w:r w:rsidR="009B5C46">
        <w:t>The</w:t>
      </w:r>
      <w:r w:rsidRPr="00EF4D95">
        <w:t xml:space="preserve"> emission units at the source are affected units and are subject to the requirements of this Section.  </w:t>
      </w:r>
    </w:p>
    <w:p w14:paraId="54A81593" w14:textId="77777777" w:rsidR="00EF4D95" w:rsidRPr="008D6492" w:rsidRDefault="00EF4D95" w:rsidP="008D6492"/>
    <w:p w14:paraId="4F507BA6" w14:textId="77777777" w:rsidR="00EF4D95" w:rsidRPr="008D6492" w:rsidRDefault="00EF4D95" w:rsidP="008D6492">
      <w:pPr>
        <w:ind w:left="2160" w:hanging="720"/>
      </w:pPr>
      <w:r w:rsidRPr="008D6492">
        <w:t>1)</w:t>
      </w:r>
      <w:r w:rsidRPr="008D6492">
        <w:tab/>
        <w:t>The following units may be included in an emissions averaging plan:</w:t>
      </w:r>
    </w:p>
    <w:p w14:paraId="5DA46193" w14:textId="77777777" w:rsidR="00EF4D95" w:rsidRPr="008D6492" w:rsidRDefault="00EF4D95" w:rsidP="008D6492"/>
    <w:p w14:paraId="06402F2E" w14:textId="0F0598CD" w:rsidR="00EF4D95" w:rsidRPr="002938A0" w:rsidRDefault="00EF4D95" w:rsidP="002938A0">
      <w:pPr>
        <w:ind w:left="2880" w:hanging="720"/>
      </w:pPr>
      <w:r w:rsidRPr="002938A0">
        <w:t>A)</w:t>
      </w:r>
      <w:r w:rsidRPr="002938A0">
        <w:tab/>
        <w:t xml:space="preserve">Units that commenced operation on or before January 1, </w:t>
      </w:r>
      <w:r w:rsidR="001C3F2F" w:rsidRPr="002938A0">
        <w:t>2017</w:t>
      </w:r>
      <w:r w:rsidRPr="002938A0">
        <w:t>.</w:t>
      </w:r>
    </w:p>
    <w:p w14:paraId="675EA4F7" w14:textId="77777777" w:rsidR="00EF4D95" w:rsidRPr="002938A0" w:rsidRDefault="00EF4D95" w:rsidP="002938A0"/>
    <w:p w14:paraId="34EB8CD8" w14:textId="1AE0B656" w:rsidR="00EF4D95" w:rsidRPr="00EF4D95" w:rsidRDefault="00EF4D95" w:rsidP="00EF4D95">
      <w:pPr>
        <w:ind w:left="2880" w:hanging="720"/>
      </w:pPr>
      <w:r w:rsidRPr="00EF4D95">
        <w:t>B)</w:t>
      </w:r>
      <w:r>
        <w:tab/>
      </w:r>
      <w:r w:rsidR="009B5C46">
        <w:rPr>
          <w:szCs w:val="24"/>
        </w:rPr>
        <w:t>Before</w:t>
      </w:r>
      <w:r w:rsidR="00CA42DD">
        <w:rPr>
          <w:szCs w:val="24"/>
        </w:rPr>
        <w:t xml:space="preserve"> July 1, 2025</w:t>
      </w:r>
      <w:r w:rsidR="009B5C46">
        <w:rPr>
          <w:szCs w:val="24"/>
        </w:rPr>
        <w:t>, units</w:t>
      </w:r>
      <w:r w:rsidRPr="00EF4D95">
        <w:t xml:space="preserve"> that the owner or operator may claim as exempt</w:t>
      </w:r>
      <w:r w:rsidR="009B5C46">
        <w:t xml:space="preserve"> </w:t>
      </w:r>
      <w:r w:rsidR="009B5C46">
        <w:rPr>
          <w:szCs w:val="24"/>
        </w:rPr>
        <w:t>under</w:t>
      </w:r>
      <w:r w:rsidRPr="00EF4D95">
        <w:t xml:space="preserve"> Section 217.162, 217.182, 217.202, 217.222, 217.242, or 217.342 of this Part, as applicable, but does not claim exempt.  For as long as </w:t>
      </w:r>
      <w:r w:rsidR="009B5C46">
        <w:t>the</w:t>
      </w:r>
      <w:r w:rsidRPr="00EF4D95">
        <w:t xml:space="preserve"> unit is included in an emissions averaging plan, it will be treated as an affected unit and subject to the applicable emissions limitations, and testing, monitoring, recordkeeping and reporting requirements. </w:t>
      </w:r>
    </w:p>
    <w:p w14:paraId="4B8710A3" w14:textId="77777777" w:rsidR="00EF4D95" w:rsidRPr="00EF4D95" w:rsidRDefault="00EF4D95" w:rsidP="00EF4D95">
      <w:pPr>
        <w:rPr>
          <w:bCs/>
          <w:color w:val="000000"/>
        </w:rPr>
      </w:pPr>
    </w:p>
    <w:p w14:paraId="078CCC0F" w14:textId="2659524B" w:rsidR="009B5C46" w:rsidRDefault="009B5C46" w:rsidP="00EF4D95">
      <w:pPr>
        <w:ind w:left="2880" w:hanging="720"/>
        <w:rPr>
          <w:color w:val="000000"/>
        </w:rPr>
      </w:pPr>
      <w:r>
        <w:rPr>
          <w:bCs/>
          <w:color w:val="000000"/>
          <w:szCs w:val="24"/>
        </w:rPr>
        <w:t>C</w:t>
      </w:r>
      <w:r w:rsidRPr="0021022C">
        <w:rPr>
          <w:bCs/>
          <w:color w:val="000000"/>
          <w:szCs w:val="24"/>
        </w:rPr>
        <w:t>)</w:t>
      </w:r>
      <w:r>
        <w:rPr>
          <w:bCs/>
          <w:color w:val="000000"/>
          <w:szCs w:val="24"/>
        </w:rPr>
        <w:tab/>
      </w:r>
      <w:r w:rsidRPr="0021022C">
        <w:rPr>
          <w:bCs/>
          <w:color w:val="000000"/>
          <w:szCs w:val="24"/>
        </w:rPr>
        <w:t>On and after</w:t>
      </w:r>
      <w:r w:rsidR="00CA42DD">
        <w:rPr>
          <w:bCs/>
          <w:color w:val="000000"/>
          <w:szCs w:val="24"/>
        </w:rPr>
        <w:t xml:space="preserve"> </w:t>
      </w:r>
      <w:r w:rsidR="00CA42DD">
        <w:rPr>
          <w:szCs w:val="24"/>
        </w:rPr>
        <w:t>July 1, 2025</w:t>
      </w:r>
      <w:r w:rsidRPr="0021022C">
        <w:rPr>
          <w:bCs/>
          <w:color w:val="000000"/>
          <w:szCs w:val="24"/>
        </w:rPr>
        <w:t xml:space="preserve">, units that are not otherwise subject to Subpart E, F, G, H, I, or M, as applicable, under Section 217.150(a)(2)(B), </w:t>
      </w:r>
      <w:r w:rsidR="001C3F2F">
        <w:rPr>
          <w:bCs/>
          <w:color w:val="000000"/>
          <w:szCs w:val="24"/>
        </w:rPr>
        <w:t xml:space="preserve">or Subpart Q, as applicable, under Section 217.386(b)(2)(A) or (B), </w:t>
      </w:r>
      <w:r w:rsidRPr="0021022C">
        <w:rPr>
          <w:bCs/>
          <w:color w:val="000000"/>
          <w:szCs w:val="24"/>
        </w:rPr>
        <w:t xml:space="preserve">but that the owner or operator chooses to include in an emissions averaging plan.  </w:t>
      </w:r>
      <w:r w:rsidRPr="0021022C">
        <w:rPr>
          <w:szCs w:val="24"/>
        </w:rPr>
        <w:t xml:space="preserve">For as long as </w:t>
      </w:r>
      <w:r>
        <w:rPr>
          <w:szCs w:val="24"/>
        </w:rPr>
        <w:t>the</w:t>
      </w:r>
      <w:r w:rsidRPr="0021022C">
        <w:rPr>
          <w:szCs w:val="24"/>
        </w:rPr>
        <w:t xml:space="preserve"> unit is included in an emissions averaging plan, it will be treated as an affected unit and subject to the applicable emissions limitations, testing, monitoring, recordkeeping and reporting requirements.</w:t>
      </w:r>
    </w:p>
    <w:p w14:paraId="3D0E3C1F" w14:textId="77777777" w:rsidR="009B5C46" w:rsidRDefault="009B5C46" w:rsidP="00572EF2">
      <w:pPr>
        <w:rPr>
          <w:color w:val="000000"/>
        </w:rPr>
      </w:pPr>
    </w:p>
    <w:p w14:paraId="179612B6" w14:textId="52146B42" w:rsidR="00EF4D95" w:rsidRPr="00EF4D95" w:rsidRDefault="009B5C46" w:rsidP="00EF4D95">
      <w:pPr>
        <w:ind w:left="2880" w:hanging="720"/>
      </w:pPr>
      <w:r>
        <w:rPr>
          <w:color w:val="000000"/>
        </w:rPr>
        <w:t>D</w:t>
      </w:r>
      <w:r w:rsidR="00EF4D95" w:rsidRPr="00EF4D95">
        <w:rPr>
          <w:color w:val="000000"/>
        </w:rPr>
        <w:t>)</w:t>
      </w:r>
      <w:r w:rsidR="00EF4D95">
        <w:rPr>
          <w:color w:val="000000"/>
        </w:rPr>
        <w:tab/>
      </w:r>
      <w:r w:rsidR="00EF4D95" w:rsidRPr="00EF4D95">
        <w:rPr>
          <w:color w:val="000000"/>
        </w:rPr>
        <w:t xml:space="preserve">Units that commence operation after January 1, </w:t>
      </w:r>
      <w:r w:rsidR="001C3F2F">
        <w:rPr>
          <w:color w:val="000000"/>
        </w:rPr>
        <w:t>2017</w:t>
      </w:r>
      <w:r w:rsidR="00EF4D95" w:rsidRPr="00EF4D95">
        <w:t xml:space="preserve">, if the unit replaces a unit that commenced operation on or before January 1, </w:t>
      </w:r>
      <w:r w:rsidR="001C3F2F">
        <w:t>2017</w:t>
      </w:r>
      <w:r w:rsidR="00EF4D95" w:rsidRPr="00EF4D95">
        <w:t xml:space="preserve">, or it replaces a unit that replaced a unit that commenced operation on or before January 1, </w:t>
      </w:r>
      <w:r w:rsidR="001C3F2F">
        <w:t>2017</w:t>
      </w:r>
      <w:r w:rsidR="00EF4D95" w:rsidRPr="00EF4D95">
        <w:t>.  The new unit must be used for the same purpose and have substantially equivalent or less process capacity or be permitted for less NO</w:t>
      </w:r>
      <w:r w:rsidR="00EF4D95" w:rsidRPr="00EF4D95">
        <w:rPr>
          <w:vertAlign w:val="subscript"/>
        </w:rPr>
        <w:t>x</w:t>
      </w:r>
      <w:r w:rsidR="00EF4D95" w:rsidRPr="00EF4D95">
        <w:t xml:space="preserve"> emissions on an annual basis than the actual NO</w:t>
      </w:r>
      <w:r w:rsidR="00EF4D95" w:rsidRPr="00EF4D95">
        <w:rPr>
          <w:vertAlign w:val="subscript"/>
        </w:rPr>
        <w:t xml:space="preserve">x </w:t>
      </w:r>
      <w:r w:rsidR="00EF4D95" w:rsidRPr="00EF4D95">
        <w:t xml:space="preserve">emissions of the unit or units that are replaced.  Within 90 days after permanently shutting down a unit that is replaced, the owner or operator of </w:t>
      </w:r>
      <w:r>
        <w:t>the</w:t>
      </w:r>
      <w:r w:rsidR="00EF4D95" w:rsidRPr="00EF4D95">
        <w:t xml:space="preserve"> unit must submit a written request to withdraw or amend the applicable permit to reflect that the unit is no longer in service before the replacement unit may be included in an emissions averaging plan.  </w:t>
      </w:r>
    </w:p>
    <w:p w14:paraId="73588D42" w14:textId="659E624D" w:rsidR="00EF4D95" w:rsidRDefault="00EF4D95" w:rsidP="00EF4D95">
      <w:pPr>
        <w:rPr>
          <w:bCs/>
          <w:color w:val="000000"/>
        </w:rPr>
      </w:pPr>
    </w:p>
    <w:p w14:paraId="082E1292" w14:textId="4809F66D" w:rsidR="001C3F2F" w:rsidRDefault="001C3F2F" w:rsidP="001C3F2F">
      <w:pPr>
        <w:ind w:left="2880" w:hanging="720"/>
        <w:rPr>
          <w:bCs/>
          <w:color w:val="000000"/>
        </w:rPr>
      </w:pPr>
      <w:r>
        <w:rPr>
          <w:bCs/>
          <w:color w:val="000000"/>
        </w:rPr>
        <w:t>E)</w:t>
      </w:r>
      <w:r>
        <w:rPr>
          <w:bCs/>
          <w:color w:val="000000"/>
        </w:rPr>
        <w:tab/>
      </w:r>
      <w:r w:rsidRPr="001C3F2F">
        <w:rPr>
          <w:bCs/>
          <w:color w:val="000000"/>
        </w:rPr>
        <w:t>On and after</w:t>
      </w:r>
      <w:r w:rsidR="00CA42DD">
        <w:rPr>
          <w:bCs/>
          <w:color w:val="000000"/>
        </w:rPr>
        <w:t xml:space="preserve"> </w:t>
      </w:r>
      <w:r w:rsidR="00CA42DD">
        <w:rPr>
          <w:szCs w:val="24"/>
        </w:rPr>
        <w:t>July 1, 2025</w:t>
      </w:r>
      <w:r w:rsidRPr="001C3F2F">
        <w:rPr>
          <w:bCs/>
          <w:color w:val="000000"/>
        </w:rPr>
        <w:t>, units that are not otherwise subject to Subpart E, F, G, H, I, or M, as applicable, under Section 217.150(a)(2)(B), but that share a common stack with a unit that is subject to Subpart E, F, G, H, I, or M, as applicable.</w:t>
      </w:r>
    </w:p>
    <w:p w14:paraId="76B3F8E6" w14:textId="77777777" w:rsidR="001C3F2F" w:rsidRPr="00EF4D95" w:rsidRDefault="001C3F2F" w:rsidP="00EF4D95">
      <w:pPr>
        <w:rPr>
          <w:bCs/>
          <w:color w:val="000000"/>
        </w:rPr>
      </w:pPr>
    </w:p>
    <w:p w14:paraId="272FFF36" w14:textId="77777777" w:rsidR="00EF4D95" w:rsidRPr="00EF4D95" w:rsidRDefault="00EF4D95" w:rsidP="00EF4D95">
      <w:pPr>
        <w:ind w:left="2160" w:hanging="720"/>
        <w:rPr>
          <w:color w:val="000000"/>
        </w:rPr>
      </w:pPr>
      <w:r w:rsidRPr="00EF4D95">
        <w:t>2)</w:t>
      </w:r>
      <w:r>
        <w:tab/>
      </w:r>
      <w:r w:rsidRPr="00EF4D95">
        <w:rPr>
          <w:color w:val="000000"/>
        </w:rPr>
        <w:t>The following types of units may not be included in an emissions averaging plan:</w:t>
      </w:r>
    </w:p>
    <w:p w14:paraId="775E732F" w14:textId="77777777" w:rsidR="00EF4D95" w:rsidRPr="00EF4D95" w:rsidRDefault="00EF4D95" w:rsidP="00EF4D95">
      <w:pPr>
        <w:rPr>
          <w:color w:val="000000"/>
        </w:rPr>
      </w:pPr>
    </w:p>
    <w:p w14:paraId="7D75D798" w14:textId="2ECE3537" w:rsidR="00EF4D95" w:rsidRPr="00EF4D95" w:rsidRDefault="00EF4D95" w:rsidP="00EF4D95">
      <w:pPr>
        <w:ind w:left="2880" w:hanging="720"/>
      </w:pPr>
      <w:r w:rsidRPr="00EF4D95">
        <w:t>A)</w:t>
      </w:r>
      <w:r>
        <w:tab/>
      </w:r>
      <w:r w:rsidRPr="00EF4D95">
        <w:t xml:space="preserve">Units that commence operation after January 1, </w:t>
      </w:r>
      <w:r w:rsidR="001C3F2F">
        <w:t>2017</w:t>
      </w:r>
      <w:r w:rsidRPr="00EF4D95">
        <w:t>, except as provided by subsection (a)(1)(</w:t>
      </w:r>
      <w:r w:rsidR="009B5C46">
        <w:t>D</w:t>
      </w:r>
      <w:r w:rsidRPr="00EF4D95">
        <w:t>) of this Section.</w:t>
      </w:r>
    </w:p>
    <w:p w14:paraId="2CDCD66F" w14:textId="77777777" w:rsidR="00EF4D95" w:rsidRPr="00EF4D95" w:rsidRDefault="00EF4D95" w:rsidP="00EF4D95"/>
    <w:p w14:paraId="2F1B2FAD" w14:textId="1BBB3CCA" w:rsidR="00EF4D95" w:rsidRPr="00EF4D95" w:rsidRDefault="00EF4D95" w:rsidP="00EF4D95">
      <w:pPr>
        <w:ind w:left="2880" w:hanging="720"/>
        <w:rPr>
          <w:color w:val="000000"/>
        </w:rPr>
      </w:pPr>
      <w:r w:rsidRPr="00EF4D95">
        <w:t>B)</w:t>
      </w:r>
      <w:r>
        <w:tab/>
      </w:r>
      <w:r w:rsidR="009B5C46">
        <w:rPr>
          <w:szCs w:val="24"/>
        </w:rPr>
        <w:t>Before</w:t>
      </w:r>
      <w:r w:rsidR="00CA42DD">
        <w:rPr>
          <w:szCs w:val="24"/>
        </w:rPr>
        <w:t xml:space="preserve"> July 1, 2025</w:t>
      </w:r>
      <w:r w:rsidR="009B5C46">
        <w:rPr>
          <w:szCs w:val="24"/>
        </w:rPr>
        <w:t>, units</w:t>
      </w:r>
      <w:r w:rsidRPr="00EF4D95">
        <w:t xml:space="preserve"> that the owner or operator is claiming are exempt </w:t>
      </w:r>
      <w:r w:rsidR="009B5C46">
        <w:rPr>
          <w:szCs w:val="24"/>
        </w:rPr>
        <w:t>under</w:t>
      </w:r>
      <w:r w:rsidRPr="00EF4D95">
        <w:t xml:space="preserve"> Section 217.162, 217.182, 217.202, 217.222, 217.242, or 217.342 of this Part, as applicable.</w:t>
      </w:r>
      <w:r w:rsidRPr="00EF4D95">
        <w:rPr>
          <w:color w:val="000000"/>
        </w:rPr>
        <w:t xml:space="preserve">   </w:t>
      </w:r>
    </w:p>
    <w:p w14:paraId="4100C109" w14:textId="77777777" w:rsidR="00EF4D95" w:rsidRPr="00EF4D95" w:rsidRDefault="00EF4D95" w:rsidP="00EF4D95">
      <w:pPr>
        <w:rPr>
          <w:color w:val="000000"/>
        </w:rPr>
      </w:pPr>
    </w:p>
    <w:p w14:paraId="54FA5128" w14:textId="77777777" w:rsidR="00EF4D95" w:rsidRPr="00EF4D95" w:rsidRDefault="00EF4D95" w:rsidP="00EF4D95">
      <w:pPr>
        <w:ind w:left="2880" w:hanging="720"/>
      </w:pPr>
      <w:r w:rsidRPr="00EF4D95">
        <w:rPr>
          <w:color w:val="000000"/>
        </w:rPr>
        <w:t>C)</w:t>
      </w:r>
      <w:r>
        <w:rPr>
          <w:color w:val="000000"/>
        </w:rPr>
        <w:tab/>
      </w:r>
      <w:r w:rsidRPr="00EF4D95">
        <w:rPr>
          <w:color w:val="000000"/>
        </w:rPr>
        <w:t>Units that are required to meet emission limits or control requirements for NO</w:t>
      </w:r>
      <w:r w:rsidRPr="00EF4D95">
        <w:rPr>
          <w:color w:val="000000"/>
          <w:vertAlign w:val="subscript"/>
        </w:rPr>
        <w:t>x</w:t>
      </w:r>
      <w:r w:rsidRPr="00EF4D95">
        <w:rPr>
          <w:color w:val="000000"/>
        </w:rPr>
        <w:t xml:space="preserve"> as provided for in an enforceable order, unless </w:t>
      </w:r>
      <w:r w:rsidR="00A53C22">
        <w:rPr>
          <w:color w:val="000000"/>
        </w:rPr>
        <w:t xml:space="preserve">the </w:t>
      </w:r>
      <w:r w:rsidRPr="00EF4D95">
        <w:rPr>
          <w:color w:val="000000"/>
        </w:rPr>
        <w:t>order allows for emissions averaging</w:t>
      </w:r>
      <w:r w:rsidRPr="00EF4D95">
        <w:t xml:space="preserve">. </w:t>
      </w:r>
      <w:r w:rsidR="003C251B">
        <w:t xml:space="preserve">In the case of petroleum refineries, this subsection </w:t>
      </w:r>
      <w:r w:rsidR="00A53C22">
        <w:t xml:space="preserve">(a)(2)(C) </w:t>
      </w:r>
      <w:r w:rsidR="003C251B">
        <w:t>does not prohibit including industrial boilers or process heaters, or both, in an emissions averaging plan whe</w:t>
      </w:r>
      <w:r w:rsidR="00A53C22">
        <w:t>n</w:t>
      </w:r>
      <w:r w:rsidR="003C251B">
        <w:t xml:space="preserve"> an enforceable order does not prohibit the reductions made under </w:t>
      </w:r>
      <w:r w:rsidR="00A53C22">
        <w:t xml:space="preserve">the </w:t>
      </w:r>
      <w:r w:rsidR="003C251B">
        <w:t>order from also being used for compliance with any rules or regulations designed to address regional haze or the non-attainment status of any area.</w:t>
      </w:r>
    </w:p>
    <w:p w14:paraId="22085209" w14:textId="77777777" w:rsidR="00EF4D95" w:rsidRPr="00EF4D95" w:rsidRDefault="00EF4D95" w:rsidP="00EF4D95"/>
    <w:p w14:paraId="343FE954" w14:textId="7917DF61" w:rsidR="00EF4D95" w:rsidRPr="00EF4D95" w:rsidRDefault="00EF4D95" w:rsidP="00EF4D95">
      <w:pPr>
        <w:ind w:left="1440" w:hanging="720"/>
      </w:pPr>
      <w:r w:rsidRPr="00EF4D95">
        <w:t>b)</w:t>
      </w:r>
      <w:r>
        <w:tab/>
      </w:r>
      <w:r w:rsidR="009B5C46">
        <w:rPr>
          <w:szCs w:val="24"/>
        </w:rPr>
        <w:t>Before</w:t>
      </w:r>
      <w:r w:rsidR="00CA42DD">
        <w:rPr>
          <w:szCs w:val="24"/>
        </w:rPr>
        <w:t xml:space="preserve"> July 1, 2025</w:t>
      </w:r>
      <w:r w:rsidR="009B5C46">
        <w:rPr>
          <w:szCs w:val="24"/>
        </w:rPr>
        <w:t>, an</w:t>
      </w:r>
      <w:r w:rsidRPr="00EF4D95">
        <w:t xml:space="preserve"> owner or operator must submit an emissions averaging plan to the Agency by January 1, </w:t>
      </w:r>
      <w:r w:rsidR="006739EF">
        <w:t>2015</w:t>
      </w:r>
      <w:r w:rsidRPr="00EF4D95">
        <w:t>.  The plan must include, but is not limited to, the following:</w:t>
      </w:r>
    </w:p>
    <w:p w14:paraId="12E70EFD" w14:textId="77777777" w:rsidR="00EF4D95" w:rsidRPr="00EF4D95" w:rsidRDefault="00EF4D95" w:rsidP="00EF4D95">
      <w:pPr>
        <w:rPr>
          <w:color w:val="000000"/>
        </w:rPr>
      </w:pPr>
    </w:p>
    <w:p w14:paraId="4536C0B9" w14:textId="77777777" w:rsidR="00EF4D95" w:rsidRPr="00EF4D95" w:rsidRDefault="00EF4D95" w:rsidP="00EF4D95">
      <w:pPr>
        <w:ind w:left="2160" w:hanging="720"/>
      </w:pPr>
      <w:r w:rsidRPr="00EF4D95">
        <w:t>1)</w:t>
      </w:r>
      <w:r>
        <w:tab/>
      </w:r>
      <w:r w:rsidRPr="00EF4D95">
        <w:t xml:space="preserve">The list of affected units included in the plan by unit identification number; and </w:t>
      </w:r>
    </w:p>
    <w:p w14:paraId="608C579D" w14:textId="77777777" w:rsidR="00EF4D95" w:rsidRPr="00EF4D95" w:rsidRDefault="00EF4D95" w:rsidP="00EF4D95">
      <w:pPr>
        <w:rPr>
          <w:color w:val="000000"/>
        </w:rPr>
      </w:pPr>
    </w:p>
    <w:p w14:paraId="030A1D25" w14:textId="23E18FD0" w:rsidR="00EF4D95" w:rsidRPr="00EF4D95" w:rsidRDefault="00EF4D95" w:rsidP="00EF4D95">
      <w:pPr>
        <w:ind w:left="2160" w:hanging="720"/>
      </w:pPr>
      <w:r w:rsidRPr="00EF4D95">
        <w:t>2)</w:t>
      </w:r>
      <w:r>
        <w:tab/>
      </w:r>
      <w:r w:rsidRPr="00EF4D95">
        <w:t>A sample calculation demonstrating compliance using the methodology provided in subsection (</w:t>
      </w:r>
      <w:r w:rsidR="009B5C46">
        <w:t>g</w:t>
      </w:r>
      <w:r w:rsidRPr="00EF4D95">
        <w:t>) of this Section for the ozone season (May 1 through September 30) and calendar year (January 1 through December 31).</w:t>
      </w:r>
    </w:p>
    <w:p w14:paraId="360CD8A1" w14:textId="77777777" w:rsidR="00EF4D95" w:rsidRPr="00EF4D95" w:rsidRDefault="00EF4D95" w:rsidP="00EF4D95"/>
    <w:p w14:paraId="10615CB2" w14:textId="4E00494B" w:rsidR="009B5C46" w:rsidRPr="0021022C" w:rsidRDefault="009B5C46" w:rsidP="009B5C46">
      <w:pPr>
        <w:ind w:left="1440" w:hanging="720"/>
        <w:rPr>
          <w:szCs w:val="24"/>
        </w:rPr>
      </w:pPr>
      <w:r>
        <w:rPr>
          <w:szCs w:val="24"/>
        </w:rPr>
        <w:t>c</w:t>
      </w:r>
      <w:r w:rsidRPr="0021022C">
        <w:rPr>
          <w:szCs w:val="24"/>
        </w:rPr>
        <w:t>)</w:t>
      </w:r>
      <w:r>
        <w:rPr>
          <w:szCs w:val="24"/>
        </w:rPr>
        <w:tab/>
      </w:r>
      <w:r w:rsidRPr="0021022C">
        <w:rPr>
          <w:szCs w:val="24"/>
        </w:rPr>
        <w:t>On and after</w:t>
      </w:r>
      <w:r w:rsidR="00CA42DD">
        <w:rPr>
          <w:szCs w:val="24"/>
        </w:rPr>
        <w:t xml:space="preserve"> July 1, 2025</w:t>
      </w:r>
      <w:r w:rsidRPr="0021022C">
        <w:rPr>
          <w:szCs w:val="24"/>
        </w:rPr>
        <w:t>, an owner or operator must submit an emissions averaging plan to the Agency at least 30 days before beginning the use of that plan to demonstrate compliance.  The plan must include, but is not limited to, the following:</w:t>
      </w:r>
    </w:p>
    <w:p w14:paraId="022DD763" w14:textId="77777777" w:rsidR="009B5C46" w:rsidRPr="0021022C" w:rsidRDefault="009B5C46" w:rsidP="009B5C46">
      <w:pPr>
        <w:rPr>
          <w:color w:val="000000"/>
          <w:szCs w:val="24"/>
        </w:rPr>
      </w:pPr>
    </w:p>
    <w:p w14:paraId="33AC965B" w14:textId="021CC7A0" w:rsidR="009B5C46" w:rsidRPr="0021022C" w:rsidRDefault="009B5C46" w:rsidP="009B5C46">
      <w:pPr>
        <w:ind w:left="2160" w:hanging="720"/>
        <w:rPr>
          <w:szCs w:val="24"/>
        </w:rPr>
      </w:pPr>
      <w:r w:rsidRPr="0021022C">
        <w:rPr>
          <w:szCs w:val="24"/>
        </w:rPr>
        <w:t>1)</w:t>
      </w:r>
      <w:r>
        <w:rPr>
          <w:szCs w:val="24"/>
        </w:rPr>
        <w:tab/>
      </w:r>
      <w:r w:rsidRPr="0021022C">
        <w:rPr>
          <w:szCs w:val="24"/>
        </w:rPr>
        <w:t>The list of affected units included in the plan by unit identification number.</w:t>
      </w:r>
    </w:p>
    <w:p w14:paraId="7F10ED09" w14:textId="77777777" w:rsidR="009B5C46" w:rsidRPr="0021022C" w:rsidRDefault="009B5C46" w:rsidP="009B5C46">
      <w:pPr>
        <w:rPr>
          <w:color w:val="000000"/>
          <w:szCs w:val="24"/>
        </w:rPr>
      </w:pPr>
    </w:p>
    <w:p w14:paraId="47626A28" w14:textId="4B3D4B62" w:rsidR="009B5C46" w:rsidRPr="0021022C" w:rsidRDefault="009B5C46" w:rsidP="009B5C46">
      <w:pPr>
        <w:ind w:left="2160" w:hanging="720"/>
        <w:rPr>
          <w:szCs w:val="24"/>
        </w:rPr>
      </w:pPr>
      <w:r w:rsidRPr="0021022C">
        <w:rPr>
          <w:szCs w:val="24"/>
        </w:rPr>
        <w:lastRenderedPageBreak/>
        <w:t>2)</w:t>
      </w:r>
      <w:r>
        <w:rPr>
          <w:szCs w:val="24"/>
        </w:rPr>
        <w:tab/>
      </w:r>
      <w:r w:rsidRPr="0021022C">
        <w:rPr>
          <w:szCs w:val="24"/>
        </w:rPr>
        <w:t>The allowable emissions limitation for each unit, as provided in Sections 217.164, 217.184, 217.204, 217.224, 217.244, and 217.344 of this Part, as applicable.</w:t>
      </w:r>
    </w:p>
    <w:p w14:paraId="258F4BFC" w14:textId="77777777" w:rsidR="009B5C46" w:rsidRPr="0021022C" w:rsidRDefault="009B5C46" w:rsidP="009B5C46">
      <w:pPr>
        <w:rPr>
          <w:color w:val="000000"/>
          <w:szCs w:val="24"/>
        </w:rPr>
      </w:pPr>
    </w:p>
    <w:p w14:paraId="0562D905" w14:textId="557D0B7E" w:rsidR="009B5C46" w:rsidRPr="0021022C" w:rsidRDefault="009B5C46" w:rsidP="009B5C46">
      <w:pPr>
        <w:ind w:left="2160" w:hanging="720"/>
        <w:rPr>
          <w:szCs w:val="24"/>
        </w:rPr>
      </w:pPr>
      <w:r w:rsidRPr="0021022C">
        <w:rPr>
          <w:szCs w:val="24"/>
        </w:rPr>
        <w:t>3)</w:t>
      </w:r>
      <w:r>
        <w:rPr>
          <w:szCs w:val="24"/>
        </w:rPr>
        <w:tab/>
      </w:r>
      <w:r w:rsidRPr="0021022C">
        <w:rPr>
          <w:szCs w:val="24"/>
        </w:rPr>
        <w:t>A sample calculation demonstrating compliance using the methodology provided in subsection (</w:t>
      </w:r>
      <w:r>
        <w:rPr>
          <w:szCs w:val="24"/>
        </w:rPr>
        <w:t>h</w:t>
      </w:r>
      <w:r w:rsidRPr="0021022C">
        <w:rPr>
          <w:szCs w:val="24"/>
        </w:rPr>
        <w:t>) of this Section on a 30-day rolling average basis.</w:t>
      </w:r>
    </w:p>
    <w:p w14:paraId="3C2C3975" w14:textId="77777777" w:rsidR="009B5C46" w:rsidRPr="0021022C" w:rsidRDefault="009B5C46" w:rsidP="00572EF2">
      <w:pPr>
        <w:rPr>
          <w:szCs w:val="24"/>
        </w:rPr>
      </w:pPr>
    </w:p>
    <w:p w14:paraId="07A51087" w14:textId="54D03BA2" w:rsidR="009B5C46" w:rsidRPr="0021022C" w:rsidRDefault="009B5C46" w:rsidP="009B5C46">
      <w:pPr>
        <w:ind w:left="2160" w:hanging="720"/>
        <w:rPr>
          <w:szCs w:val="24"/>
        </w:rPr>
      </w:pPr>
      <w:r w:rsidRPr="0021022C">
        <w:rPr>
          <w:szCs w:val="24"/>
        </w:rPr>
        <w:t>4)</w:t>
      </w:r>
      <w:r>
        <w:rPr>
          <w:szCs w:val="24"/>
        </w:rPr>
        <w:tab/>
      </w:r>
      <w:r w:rsidRPr="0021022C">
        <w:rPr>
          <w:szCs w:val="24"/>
        </w:rPr>
        <w:t>The date the owner or operator will begin using the emissions averaging plan.</w:t>
      </w:r>
    </w:p>
    <w:p w14:paraId="280AEDDE" w14:textId="77777777" w:rsidR="009B5C46" w:rsidRPr="00EF4D95" w:rsidRDefault="009B5C46" w:rsidP="00572EF2"/>
    <w:p w14:paraId="25DF5735" w14:textId="1815B869" w:rsidR="00EF4D95" w:rsidRPr="00EF4D95" w:rsidRDefault="009B5C46" w:rsidP="00EF4D95">
      <w:pPr>
        <w:ind w:left="1440" w:hanging="720"/>
      </w:pPr>
      <w:r>
        <w:t>d</w:t>
      </w:r>
      <w:r w:rsidR="00EF4D95" w:rsidRPr="00EF4D95">
        <w:t>)</w:t>
      </w:r>
      <w:r w:rsidR="00EF4D95">
        <w:tab/>
      </w:r>
      <w:r w:rsidR="00EF4D95" w:rsidRPr="00EF4D95">
        <w:t xml:space="preserve">An owner or operator may amend an emissions averaging plan only once per calendar year. </w:t>
      </w:r>
    </w:p>
    <w:p w14:paraId="04215803" w14:textId="77777777" w:rsidR="00EF4D95" w:rsidRPr="00EF4D95" w:rsidRDefault="00EF4D95" w:rsidP="00EF4D95">
      <w:pPr>
        <w:rPr>
          <w:color w:val="000000"/>
        </w:rPr>
      </w:pPr>
    </w:p>
    <w:p w14:paraId="0E3A10B5" w14:textId="6908F736" w:rsidR="00EF4D95" w:rsidRPr="00EF4D95" w:rsidRDefault="009B5C46" w:rsidP="00EF4D95">
      <w:pPr>
        <w:ind w:firstLine="720"/>
      </w:pPr>
      <w:r>
        <w:t>e</w:t>
      </w:r>
      <w:r w:rsidR="00EF4D95" w:rsidRPr="00EF4D95">
        <w:t>)</w:t>
      </w:r>
      <w:r w:rsidR="00EF4D95">
        <w:tab/>
      </w:r>
      <w:r w:rsidR="00EF4D95" w:rsidRPr="00EF4D95">
        <w:t>Notwithstanding subsection (</w:t>
      </w:r>
      <w:r w:rsidR="00AC3140">
        <w:t>d</w:t>
      </w:r>
      <w:r w:rsidR="00EF4D95" w:rsidRPr="00EF4D95">
        <w:t>) of this Section:</w:t>
      </w:r>
    </w:p>
    <w:p w14:paraId="649FAA45" w14:textId="77777777" w:rsidR="00EF4D95" w:rsidRPr="00EF4D95" w:rsidRDefault="00EF4D95" w:rsidP="00EF4D95">
      <w:pPr>
        <w:rPr>
          <w:color w:val="000000"/>
        </w:rPr>
      </w:pPr>
    </w:p>
    <w:p w14:paraId="5C5413F3" w14:textId="1800D465" w:rsidR="00EF4D95" w:rsidRPr="00EF4D95" w:rsidRDefault="00EF4D95" w:rsidP="00EF4D95">
      <w:pPr>
        <w:ind w:left="2160" w:hanging="720"/>
      </w:pPr>
      <w:r w:rsidRPr="00EF4D95">
        <w:t>1)</w:t>
      </w:r>
      <w:r>
        <w:tab/>
      </w:r>
      <w:r w:rsidRPr="00EF4D95">
        <w:t xml:space="preserve">If a unit that is listed in an emissions averaging plan is taken out of service, the owner or operator must submit to the Agency, within 30 days </w:t>
      </w:r>
      <w:r w:rsidR="002140AE">
        <w:t xml:space="preserve">after </w:t>
      </w:r>
      <w:r w:rsidR="009B5C46">
        <w:t>the</w:t>
      </w:r>
      <w:r w:rsidRPr="00EF4D95">
        <w:t xml:space="preserve"> occurrence, an updated emissions averaging plan; or</w:t>
      </w:r>
    </w:p>
    <w:p w14:paraId="208E26EC" w14:textId="77777777" w:rsidR="00EF4D95" w:rsidRPr="00EF4D95" w:rsidRDefault="00EF4D95" w:rsidP="00EF4D95">
      <w:pPr>
        <w:rPr>
          <w:color w:val="000000"/>
        </w:rPr>
      </w:pPr>
    </w:p>
    <w:p w14:paraId="0877F6D1" w14:textId="0C4A54A3" w:rsidR="00EF4D95" w:rsidRDefault="00EF4D95" w:rsidP="00EF4D95">
      <w:pPr>
        <w:ind w:left="2160" w:hanging="720"/>
      </w:pPr>
      <w:r w:rsidRPr="00EF4D95">
        <w:t>2)</w:t>
      </w:r>
      <w:r>
        <w:tab/>
      </w:r>
      <w:r w:rsidR="009B5C46">
        <w:rPr>
          <w:szCs w:val="24"/>
        </w:rPr>
        <w:t>Before</w:t>
      </w:r>
      <w:r w:rsidR="00CA42DD">
        <w:rPr>
          <w:szCs w:val="24"/>
        </w:rPr>
        <w:t xml:space="preserve"> July 1, 2025</w:t>
      </w:r>
      <w:r w:rsidR="009B5C46">
        <w:rPr>
          <w:szCs w:val="24"/>
        </w:rPr>
        <w:t>, if</w:t>
      </w:r>
      <w:r w:rsidRPr="00EF4D95">
        <w:t xml:space="preserve"> a unit that was exempt from the requirements of Subpart E, F, G, H, </w:t>
      </w:r>
      <w:r w:rsidR="002140AE">
        <w:t xml:space="preserve">I, </w:t>
      </w:r>
      <w:r w:rsidRPr="00EF4D95">
        <w:t xml:space="preserve">or M of this Part </w:t>
      </w:r>
      <w:r w:rsidR="009B5C46">
        <w:rPr>
          <w:szCs w:val="24"/>
        </w:rPr>
        <w:t>under</w:t>
      </w:r>
      <w:r w:rsidRPr="00EF4D95">
        <w:t xml:space="preserve"> Section 217.162, 217.182, 217.202, 217.222, 217.242, or 217.342 of this Part, as applicable, no longer qualifies for an exemption, the owner or operator may amend its existing averaging plan to include </w:t>
      </w:r>
      <w:r w:rsidR="009B5C46">
        <w:t>the</w:t>
      </w:r>
      <w:r w:rsidRPr="00EF4D95">
        <w:t xml:space="preserve"> unit within 30 days </w:t>
      </w:r>
      <w:r w:rsidR="002140AE">
        <w:t>after</w:t>
      </w:r>
      <w:r w:rsidRPr="00EF4D95">
        <w:t xml:space="preserve"> the unit no longer qualif</w:t>
      </w:r>
      <w:r w:rsidR="002140AE">
        <w:t>ies</w:t>
      </w:r>
      <w:r w:rsidRPr="00EF4D95">
        <w:t xml:space="preserve"> for the exemption.  </w:t>
      </w:r>
    </w:p>
    <w:p w14:paraId="67170476" w14:textId="77777777" w:rsidR="00AC3119" w:rsidRDefault="00AC3119" w:rsidP="00572EF2"/>
    <w:p w14:paraId="34C5B990" w14:textId="373832EA" w:rsidR="00AC3119" w:rsidRPr="00EF4D95" w:rsidRDefault="00AC3119" w:rsidP="00EF4D95">
      <w:pPr>
        <w:ind w:left="2160" w:hanging="720"/>
      </w:pPr>
      <w:bookmarkStart w:id="0" w:name="_Hlk153201192"/>
      <w:r w:rsidRPr="0021022C">
        <w:rPr>
          <w:color w:val="000000"/>
          <w:szCs w:val="24"/>
        </w:rPr>
        <w:t>3)</w:t>
      </w:r>
      <w:r>
        <w:rPr>
          <w:color w:val="000000"/>
          <w:szCs w:val="24"/>
        </w:rPr>
        <w:tab/>
      </w:r>
      <w:r w:rsidRPr="0021022C">
        <w:rPr>
          <w:color w:val="000000"/>
          <w:szCs w:val="24"/>
        </w:rPr>
        <w:t>On and after</w:t>
      </w:r>
      <w:r w:rsidR="00CA42DD">
        <w:rPr>
          <w:color w:val="000000"/>
          <w:szCs w:val="24"/>
        </w:rPr>
        <w:t xml:space="preserve"> </w:t>
      </w:r>
      <w:r w:rsidR="00CA42DD">
        <w:rPr>
          <w:szCs w:val="24"/>
        </w:rPr>
        <w:t>July 1, 2025</w:t>
      </w:r>
      <w:r w:rsidRPr="0021022C">
        <w:rPr>
          <w:color w:val="000000"/>
          <w:szCs w:val="24"/>
        </w:rPr>
        <w:t xml:space="preserve">, if a unit that was not otherwise subject to Subpart E, F, G, H, I, or M, as applicable, under Section 217.150(a)(2)(B) becomes subject to Subpart E, F, G, H, I, or M, as applicable, the owner or operator may amend its existing averaging plan to include </w:t>
      </w:r>
      <w:r>
        <w:rPr>
          <w:color w:val="000000"/>
          <w:szCs w:val="24"/>
        </w:rPr>
        <w:t>the</w:t>
      </w:r>
      <w:r w:rsidRPr="0021022C">
        <w:rPr>
          <w:color w:val="000000"/>
          <w:szCs w:val="24"/>
        </w:rPr>
        <w:t xml:space="preserve"> unit within 30 days after the unit becomes subject to the applicable Subpart.</w:t>
      </w:r>
      <w:bookmarkEnd w:id="0"/>
    </w:p>
    <w:p w14:paraId="7D44638C" w14:textId="77777777" w:rsidR="00EF4D95" w:rsidRPr="00EF4D95" w:rsidRDefault="00EF4D95" w:rsidP="00EF4D95">
      <w:pPr>
        <w:rPr>
          <w:color w:val="000000"/>
        </w:rPr>
      </w:pPr>
    </w:p>
    <w:p w14:paraId="43ABF7D5" w14:textId="39693B82" w:rsidR="00EF4D95" w:rsidRPr="00EF4D95" w:rsidRDefault="00AC3119" w:rsidP="00EF4D95">
      <w:pPr>
        <w:ind w:firstLine="720"/>
      </w:pPr>
      <w:r>
        <w:t>f</w:t>
      </w:r>
      <w:r w:rsidR="00EF4D95" w:rsidRPr="00EF4D95">
        <w:t>)</w:t>
      </w:r>
      <w:r w:rsidR="00EF4D95">
        <w:tab/>
      </w:r>
      <w:r w:rsidR="00EF4D95" w:rsidRPr="00EF4D95">
        <w:t>An owner or operator must:</w:t>
      </w:r>
    </w:p>
    <w:p w14:paraId="374F7787" w14:textId="77777777" w:rsidR="00EF4D95" w:rsidRPr="00EF4D95" w:rsidRDefault="00EF4D95" w:rsidP="00EF4D95">
      <w:pPr>
        <w:rPr>
          <w:color w:val="000000"/>
        </w:rPr>
      </w:pPr>
    </w:p>
    <w:p w14:paraId="7EA94504" w14:textId="0271DB2D" w:rsidR="00EF4D95" w:rsidRPr="00EF4D95" w:rsidRDefault="00EF4D95" w:rsidP="00EF4D95">
      <w:pPr>
        <w:ind w:left="2160" w:hanging="720"/>
      </w:pPr>
      <w:r w:rsidRPr="00EF4D95">
        <w:t>1)</w:t>
      </w:r>
      <w:r>
        <w:tab/>
      </w:r>
      <w:r w:rsidR="00AC3119">
        <w:rPr>
          <w:szCs w:val="24"/>
        </w:rPr>
        <w:t>Until</w:t>
      </w:r>
      <w:r w:rsidR="00CA42DD">
        <w:rPr>
          <w:szCs w:val="24"/>
        </w:rPr>
        <w:t xml:space="preserve"> July 1, 2025</w:t>
      </w:r>
      <w:r w:rsidR="00AC3119">
        <w:rPr>
          <w:szCs w:val="24"/>
        </w:rPr>
        <w:t>, demonstrate</w:t>
      </w:r>
      <w:r w:rsidRPr="00EF4D95">
        <w:t xml:space="preserve"> compliance for the ozone season (May 1 through September 30) and the calendar year (January 1 through December 31) by using the methodology and the units listed in the most recent emissions averaging plan submitted to the Agency </w:t>
      </w:r>
      <w:r w:rsidR="00AC3119">
        <w:rPr>
          <w:szCs w:val="24"/>
        </w:rPr>
        <w:t>under</w:t>
      </w:r>
      <w:r w:rsidRPr="00EF4D95">
        <w:t xml:space="preserve"> subsection (b) of this Section, the monitoring data or test data determined </w:t>
      </w:r>
      <w:r w:rsidR="00AC3119">
        <w:rPr>
          <w:szCs w:val="24"/>
        </w:rPr>
        <w:t>under</w:t>
      </w:r>
      <w:r w:rsidRPr="00EF4D95">
        <w:t xml:space="preserve"> Section 217.157, and the actual hours of operation for the applicable averaging plan period</w:t>
      </w:r>
      <w:r w:rsidR="00AC3119">
        <w:t>.</w:t>
      </w:r>
      <w:r w:rsidRPr="00EF4D95">
        <w:t xml:space="preserve"> </w:t>
      </w:r>
    </w:p>
    <w:p w14:paraId="3EC99587" w14:textId="77777777" w:rsidR="00EF4D95" w:rsidRPr="00EF4D95" w:rsidRDefault="00EF4D95" w:rsidP="00EF4D95">
      <w:pPr>
        <w:rPr>
          <w:color w:val="000000"/>
        </w:rPr>
      </w:pPr>
    </w:p>
    <w:p w14:paraId="0C4FCC24" w14:textId="6F7872DE" w:rsidR="00AC3119" w:rsidRDefault="00AC3119" w:rsidP="00EF4D95">
      <w:pPr>
        <w:ind w:left="2160" w:hanging="720"/>
        <w:rPr>
          <w:szCs w:val="24"/>
        </w:rPr>
      </w:pPr>
      <w:r w:rsidRPr="00173945">
        <w:rPr>
          <w:szCs w:val="24"/>
        </w:rPr>
        <w:t>2)</w:t>
      </w:r>
      <w:r>
        <w:rPr>
          <w:szCs w:val="24"/>
        </w:rPr>
        <w:tab/>
      </w:r>
      <w:r w:rsidRPr="00173945">
        <w:rPr>
          <w:szCs w:val="24"/>
        </w:rPr>
        <w:t>On and after</w:t>
      </w:r>
      <w:r w:rsidR="00CA42DD">
        <w:rPr>
          <w:szCs w:val="24"/>
        </w:rPr>
        <w:t xml:space="preserve"> July 1, 2025</w:t>
      </w:r>
      <w:r w:rsidRPr="00173945">
        <w:rPr>
          <w:szCs w:val="24"/>
        </w:rPr>
        <w:t xml:space="preserve">, demonstrate compliance on a 30-day rolling average basis by using the methodology and the units listed in the most recent emissions averaging plan submitted to the Agency </w:t>
      </w:r>
      <w:r>
        <w:rPr>
          <w:szCs w:val="24"/>
        </w:rPr>
        <w:t>under</w:t>
      </w:r>
      <w:r w:rsidRPr="00173945">
        <w:rPr>
          <w:szCs w:val="24"/>
        </w:rPr>
        <w:t xml:space="preserve"> subsection </w:t>
      </w:r>
      <w:r w:rsidRPr="00173945">
        <w:rPr>
          <w:szCs w:val="24"/>
        </w:rPr>
        <w:lastRenderedPageBreak/>
        <w:t>(</w:t>
      </w:r>
      <w:r>
        <w:rPr>
          <w:szCs w:val="24"/>
        </w:rPr>
        <w:t>c</w:t>
      </w:r>
      <w:r w:rsidRPr="00173945">
        <w:rPr>
          <w:szCs w:val="24"/>
        </w:rPr>
        <w:t xml:space="preserve">) of this Section, the monitoring data or test data determined </w:t>
      </w:r>
      <w:r>
        <w:rPr>
          <w:szCs w:val="24"/>
        </w:rPr>
        <w:t>under</w:t>
      </w:r>
      <w:r w:rsidRPr="00173945">
        <w:rPr>
          <w:szCs w:val="24"/>
        </w:rPr>
        <w:t xml:space="preserve"> Section 217.157, and the actual hours of operation for the applicable averaging plan period.</w:t>
      </w:r>
    </w:p>
    <w:p w14:paraId="3E7C6089" w14:textId="77777777" w:rsidR="00AC3119" w:rsidRDefault="00AC3119" w:rsidP="00572EF2"/>
    <w:p w14:paraId="567A253F" w14:textId="30D1CA74" w:rsidR="00EF4D95" w:rsidRPr="00EF4D95" w:rsidRDefault="00AC3119" w:rsidP="00EF4D95">
      <w:pPr>
        <w:ind w:left="2160" w:hanging="720"/>
      </w:pPr>
      <w:r>
        <w:t>3</w:t>
      </w:r>
      <w:r w:rsidR="00EF4D95" w:rsidRPr="00EF4D95">
        <w:t>)</w:t>
      </w:r>
      <w:r w:rsidR="00EF4D95">
        <w:tab/>
      </w:r>
      <w:r>
        <w:rPr>
          <w:szCs w:val="24"/>
        </w:rPr>
        <w:t>Until</w:t>
      </w:r>
      <w:r w:rsidR="00CA42DD">
        <w:rPr>
          <w:szCs w:val="24"/>
        </w:rPr>
        <w:t xml:space="preserve"> July 1, 2025</w:t>
      </w:r>
      <w:r>
        <w:rPr>
          <w:szCs w:val="24"/>
        </w:rPr>
        <w:t>, submit</w:t>
      </w:r>
      <w:r w:rsidR="00EF4D95" w:rsidRPr="00EF4D95">
        <w:t xml:space="preserve"> to the Agency</w:t>
      </w:r>
      <w:r w:rsidR="002140AE">
        <w:t>,</w:t>
      </w:r>
      <w:r w:rsidR="00EF4D95" w:rsidRPr="00EF4D95">
        <w:t xml:space="preserve"> by March 1 following each calendar year, a compliance report containing the information required by Section 217.156(i).</w:t>
      </w:r>
      <w:r>
        <w:rPr>
          <w:szCs w:val="24"/>
        </w:rPr>
        <w:t xml:space="preserve">  On and after </w:t>
      </w:r>
      <w:r w:rsidR="00F87EC8">
        <w:rPr>
          <w:szCs w:val="24"/>
        </w:rPr>
        <w:t xml:space="preserve">July </w:t>
      </w:r>
      <w:r>
        <w:rPr>
          <w:szCs w:val="24"/>
        </w:rPr>
        <w:t>1, 2025, submit to the Agency, by Ma</w:t>
      </w:r>
      <w:r w:rsidR="001C3F2F">
        <w:rPr>
          <w:szCs w:val="24"/>
        </w:rPr>
        <w:t>y</w:t>
      </w:r>
      <w:r>
        <w:rPr>
          <w:szCs w:val="24"/>
        </w:rPr>
        <w:t xml:space="preserve"> 1 following each calendar year, a compliance report containing the information required by Section 217.156(j).</w:t>
      </w:r>
    </w:p>
    <w:p w14:paraId="26F3CD7C" w14:textId="77777777" w:rsidR="00EF4D95" w:rsidRPr="00EF4D95" w:rsidRDefault="00EF4D95" w:rsidP="00EF4D95">
      <w:pPr>
        <w:rPr>
          <w:color w:val="000000"/>
        </w:rPr>
      </w:pPr>
    </w:p>
    <w:p w14:paraId="721EE197" w14:textId="5AB0470F" w:rsidR="00EF4D95" w:rsidRPr="00EF4D95" w:rsidRDefault="00AC3119" w:rsidP="00EF4D95">
      <w:pPr>
        <w:ind w:left="1440" w:hanging="720"/>
      </w:pPr>
      <w:r>
        <w:t>g</w:t>
      </w:r>
      <w:r w:rsidR="00EF4D95" w:rsidRPr="00EF4D95">
        <w:t>)</w:t>
      </w:r>
      <w:r w:rsidR="00EF4D95" w:rsidRPr="00EF4D95">
        <w:tab/>
      </w:r>
      <w:r>
        <w:rPr>
          <w:szCs w:val="24"/>
        </w:rPr>
        <w:t>Until</w:t>
      </w:r>
      <w:r w:rsidR="00CA42DD">
        <w:rPr>
          <w:szCs w:val="24"/>
        </w:rPr>
        <w:t xml:space="preserve"> July 1, 2025</w:t>
      </w:r>
      <w:r>
        <w:rPr>
          <w:szCs w:val="24"/>
        </w:rPr>
        <w:t>, the</w:t>
      </w:r>
      <w:r w:rsidR="00EF4D95" w:rsidRPr="00EF4D95">
        <w:t xml:space="preserve"> total mass of actual NO</w:t>
      </w:r>
      <w:r w:rsidR="00EF4D95" w:rsidRPr="00EF4D95">
        <w:rPr>
          <w:vertAlign w:val="subscript"/>
        </w:rPr>
        <w:t>x</w:t>
      </w:r>
      <w:r w:rsidR="00EF4D95" w:rsidRPr="00EF4D95">
        <w:t xml:space="preserve"> emissions from the units listed in the emissions averaging plan must be equal to or less than the total mass of allowable NO</w:t>
      </w:r>
      <w:r w:rsidR="00EF4D95" w:rsidRPr="00A21479">
        <w:rPr>
          <w:vertAlign w:val="subscript"/>
        </w:rPr>
        <w:t>x</w:t>
      </w:r>
      <w:r w:rsidR="00EF4D95" w:rsidRPr="00EF4D95">
        <w:t xml:space="preserve"> emissions for those units for both the ozone season and calendar year.  The following equation must be used to determine compliance:</w:t>
      </w:r>
    </w:p>
    <w:p w14:paraId="25C14C01" w14:textId="24A2EB94" w:rsidR="00EF4D95" w:rsidRDefault="00EF4D95" w:rsidP="00EF4D95"/>
    <w:p w14:paraId="038D7671" w14:textId="68AD6B88" w:rsidR="00EF4D95" w:rsidRPr="00EF4D95" w:rsidRDefault="008D6492" w:rsidP="00A6120F">
      <w:pPr>
        <w:ind w:left="720" w:firstLine="3483"/>
      </w:pPr>
      <m:oMathPara>
        <m:oMath>
          <m:sSub>
            <m:sSubPr>
              <m:ctrlPr>
                <w:rPr>
                  <w:rFonts w:ascii="Cambria Math" w:hAnsi="Cambria Math"/>
                  <w:i/>
                </w:rPr>
              </m:ctrlPr>
            </m:sSubPr>
            <m:e>
              <m:r>
                <w:rPr>
                  <w:rFonts w:ascii="Cambria Math"/>
                </w:rPr>
                <m:t>N</m:t>
              </m:r>
            </m:e>
            <m:sub>
              <m:r>
                <w:rPr>
                  <w:rFonts w:ascii="Cambria Math"/>
                </w:rPr>
                <m:t>act</m:t>
              </m:r>
            </m:sub>
          </m:sSub>
          <m:r>
            <w:rPr>
              <w:rFonts w:ascii="Cambria Math"/>
            </w:rPr>
            <m:t>≤</m:t>
          </m:r>
          <m:sSub>
            <m:sSubPr>
              <m:ctrlPr>
                <w:rPr>
                  <w:rFonts w:ascii="Cambria Math" w:hAnsi="Cambria Math"/>
                  <w:i/>
                </w:rPr>
              </m:ctrlPr>
            </m:sSubPr>
            <m:e>
              <m:r>
                <w:rPr>
                  <w:rFonts w:ascii="Cambria Math"/>
                </w:rPr>
                <m:t>N</m:t>
              </m:r>
            </m:e>
            <m:sub>
              <m:r>
                <w:rPr>
                  <w:rFonts w:ascii="Cambria Math"/>
                </w:rPr>
                <m:t>all</m:t>
              </m:r>
            </m:sub>
          </m:sSub>
        </m:oMath>
      </m:oMathPara>
    </w:p>
    <w:p w14:paraId="650589BE" w14:textId="77777777" w:rsidR="00EF4D95" w:rsidRPr="00EF4D95" w:rsidRDefault="00EF4D95" w:rsidP="00EF4D95"/>
    <w:p w14:paraId="20821CCF" w14:textId="77777777" w:rsidR="00EF4D95" w:rsidRPr="00EF4D95" w:rsidRDefault="00EF4D95" w:rsidP="00EF4D95">
      <w:pPr>
        <w:ind w:left="1440" w:firstLine="720"/>
      </w:pPr>
      <w:r w:rsidRPr="00EF4D95">
        <w:t>Where:</w:t>
      </w:r>
    </w:p>
    <w:p w14:paraId="3A98026C" w14:textId="77777777" w:rsidR="00EF4D95" w:rsidRDefault="00EF4D95" w:rsidP="00572EF2"/>
    <w:tbl>
      <w:tblPr>
        <w:tblW w:w="0" w:type="auto"/>
        <w:tblInd w:w="2511" w:type="dxa"/>
        <w:tblLook w:val="0000" w:firstRow="0" w:lastRow="0" w:firstColumn="0" w:lastColumn="0" w:noHBand="0" w:noVBand="0"/>
      </w:tblPr>
      <w:tblGrid>
        <w:gridCol w:w="997"/>
        <w:gridCol w:w="347"/>
        <w:gridCol w:w="5721"/>
      </w:tblGrid>
      <w:tr w:rsidR="00436C9F" w14:paraId="7EEB583D" w14:textId="77777777" w:rsidTr="00A6120F">
        <w:trPr>
          <w:trHeight w:val="855"/>
        </w:trPr>
        <w:tc>
          <w:tcPr>
            <w:tcW w:w="1017" w:type="dxa"/>
          </w:tcPr>
          <w:p w14:paraId="74A1BF2D" w14:textId="5C200D8B" w:rsidR="00EF4D95" w:rsidRDefault="008D6492" w:rsidP="00A6120F">
            <w:pPr>
              <w:ind w:left="-262" w:right="-65"/>
            </w:pPr>
            <m:oMathPara>
              <m:oMath>
                <m:sSub>
                  <m:sSubPr>
                    <m:ctrlPr>
                      <w:rPr>
                        <w:rFonts w:ascii="Cambria Math" w:hAnsi="Cambria Math"/>
                        <w:i/>
                      </w:rPr>
                    </m:ctrlPr>
                  </m:sSubPr>
                  <m:e>
                    <m:r>
                      <w:rPr>
                        <w:rFonts w:ascii="Cambria Math"/>
                      </w:rPr>
                      <m:t>N</m:t>
                    </m:r>
                  </m:e>
                  <m:sub>
                    <m:r>
                      <w:rPr>
                        <w:rFonts w:ascii="Cambria Math"/>
                      </w:rPr>
                      <m:t>act</m:t>
                    </m:r>
                  </m:sub>
                </m:sSub>
              </m:oMath>
            </m:oMathPara>
          </w:p>
        </w:tc>
        <w:tc>
          <w:tcPr>
            <w:tcW w:w="360" w:type="dxa"/>
          </w:tcPr>
          <w:p w14:paraId="7C30084C" w14:textId="77777777" w:rsidR="00EF4D95" w:rsidRDefault="00EF4D95" w:rsidP="00436C9F">
            <w:pPr>
              <w:ind w:left="-108" w:right="-108"/>
            </w:pPr>
            <w:r>
              <w:t>=</w:t>
            </w:r>
          </w:p>
        </w:tc>
        <w:tc>
          <w:tcPr>
            <w:tcW w:w="5688" w:type="dxa"/>
          </w:tcPr>
          <w:p w14:paraId="59BB3BA0" w14:textId="2C41C4B3" w:rsidR="00EF4D95" w:rsidRDefault="008D6492" w:rsidP="00A6120F">
            <w:pPr>
              <w:ind w:right="3780"/>
            </w:pPr>
            <m:oMathPara>
              <m:oMath>
                <m:nary>
                  <m:naryPr>
                    <m:chr m:val="∑"/>
                    <m:ctrlPr>
                      <w:rPr>
                        <w:rFonts w:ascii="Cambria Math" w:hAnsi="Cambria Math"/>
                        <w:i/>
                      </w:rPr>
                    </m:ctrlPr>
                  </m:naryPr>
                  <m:sub>
                    <m:r>
                      <w:rPr>
                        <w:rFonts w:ascii="Cambria Math"/>
                      </w:rPr>
                      <m:t>i=l</m:t>
                    </m:r>
                  </m:sub>
                  <m:sup>
                    <m:r>
                      <w:rPr>
                        <w:rFonts w:ascii="Cambria Math"/>
                      </w:rPr>
                      <m:t>n</m:t>
                    </m:r>
                  </m:sup>
                  <m:e>
                    <m:nary>
                      <m:naryPr>
                        <m:chr m:val="∑"/>
                        <m:ctrlPr>
                          <w:rPr>
                            <w:rFonts w:ascii="Cambria Math" w:hAnsi="Cambria Math"/>
                            <w:i/>
                          </w:rPr>
                        </m:ctrlPr>
                      </m:naryPr>
                      <m:sub>
                        <m:r>
                          <w:rPr>
                            <w:rFonts w:ascii="Cambria Math"/>
                          </w:rPr>
                          <m:t>j=l</m:t>
                        </m:r>
                      </m:sub>
                      <m:sup>
                        <m:r>
                          <w:rPr>
                            <w:rFonts w:ascii="Cambria Math"/>
                          </w:rPr>
                          <m:t>k</m:t>
                        </m:r>
                      </m:sup>
                      <m:e>
                        <m:r>
                          <w:rPr>
                            <w:rFonts w:ascii="Cambria Math"/>
                          </w:rPr>
                          <m:t>E</m:t>
                        </m:r>
                        <m:sSub>
                          <m:sSubPr>
                            <m:ctrlPr>
                              <w:rPr>
                                <w:rFonts w:ascii="Cambria Math" w:hAnsi="Cambria Math"/>
                                <w:i/>
                              </w:rPr>
                            </m:ctrlPr>
                          </m:sSubPr>
                          <m:e>
                            <m:r>
                              <w:rPr>
                                <w:rFonts w:ascii="Cambria Math"/>
                              </w:rPr>
                              <m:t>M</m:t>
                            </m:r>
                          </m:e>
                          <m:sub>
                            <m:r>
                              <w:rPr>
                                <w:rFonts w:ascii="Cambria Math"/>
                              </w:rPr>
                              <m:t>act</m:t>
                            </m:r>
                            <m:d>
                              <m:dPr>
                                <m:ctrlPr>
                                  <w:rPr>
                                    <w:rFonts w:ascii="Cambria Math" w:hAnsi="Cambria Math"/>
                                    <w:i/>
                                  </w:rPr>
                                </m:ctrlPr>
                              </m:dPr>
                              <m:e>
                                <m:r>
                                  <w:rPr>
                                    <w:rFonts w:ascii="Cambria Math"/>
                                  </w:rPr>
                                  <m:t>i,j</m:t>
                                </m:r>
                              </m:e>
                            </m:d>
                          </m:sub>
                        </m:sSub>
                      </m:e>
                    </m:nary>
                  </m:e>
                </m:nary>
              </m:oMath>
            </m:oMathPara>
          </w:p>
        </w:tc>
      </w:tr>
      <w:tr w:rsidR="00436C9F" w14:paraId="1FB31BEE" w14:textId="77777777" w:rsidTr="00A6120F">
        <w:trPr>
          <w:trHeight w:val="855"/>
        </w:trPr>
        <w:tc>
          <w:tcPr>
            <w:tcW w:w="1017" w:type="dxa"/>
          </w:tcPr>
          <w:p w14:paraId="25A52AAD" w14:textId="66C2A9D3" w:rsidR="00EF4D95" w:rsidRDefault="008D6492" w:rsidP="00A6120F">
            <w:pPr>
              <w:ind w:left="-262"/>
            </w:pPr>
            <m:oMathPara>
              <m:oMath>
                <m:sSub>
                  <m:sSubPr>
                    <m:ctrlPr>
                      <w:rPr>
                        <w:rFonts w:ascii="Cambria Math" w:hAnsi="Cambria Math"/>
                        <w:i/>
                      </w:rPr>
                    </m:ctrlPr>
                  </m:sSubPr>
                  <m:e>
                    <m:r>
                      <w:rPr>
                        <w:rFonts w:ascii="Cambria Math"/>
                      </w:rPr>
                      <m:t>N</m:t>
                    </m:r>
                  </m:e>
                  <m:sub>
                    <m:r>
                      <w:rPr>
                        <w:rFonts w:ascii="Cambria Math"/>
                      </w:rPr>
                      <m:t>all</m:t>
                    </m:r>
                  </m:sub>
                </m:sSub>
              </m:oMath>
            </m:oMathPara>
          </w:p>
        </w:tc>
        <w:tc>
          <w:tcPr>
            <w:tcW w:w="360" w:type="dxa"/>
          </w:tcPr>
          <w:p w14:paraId="4C62F4E8" w14:textId="77777777" w:rsidR="00EF4D95" w:rsidRDefault="00EF4D95" w:rsidP="00436C9F">
            <w:pPr>
              <w:ind w:left="-108" w:right="-108"/>
            </w:pPr>
            <w:r>
              <w:t>=</w:t>
            </w:r>
          </w:p>
        </w:tc>
        <w:tc>
          <w:tcPr>
            <w:tcW w:w="5688" w:type="dxa"/>
          </w:tcPr>
          <w:p w14:paraId="0B5A3BC1" w14:textId="329A6664" w:rsidR="00EF4D95" w:rsidRDefault="008D6492" w:rsidP="00A6120F">
            <w:pPr>
              <w:ind w:right="3870"/>
            </w:pPr>
            <m:oMathPara>
              <m:oMath>
                <m:nary>
                  <m:naryPr>
                    <m:chr m:val="∑"/>
                    <m:ctrlPr>
                      <w:rPr>
                        <w:rFonts w:ascii="Cambria Math" w:hAnsi="Cambria Math"/>
                        <w:i/>
                      </w:rPr>
                    </m:ctrlPr>
                  </m:naryPr>
                  <m:sub>
                    <m:r>
                      <w:rPr>
                        <w:rFonts w:ascii="Cambria Math"/>
                      </w:rPr>
                      <m:t>i=l</m:t>
                    </m:r>
                  </m:sub>
                  <m:sup>
                    <m:r>
                      <w:rPr>
                        <w:rFonts w:ascii="Cambria Math"/>
                      </w:rPr>
                      <m:t>n</m:t>
                    </m:r>
                  </m:sup>
                  <m:e>
                    <m:nary>
                      <m:naryPr>
                        <m:chr m:val="∑"/>
                        <m:ctrlPr>
                          <w:rPr>
                            <w:rFonts w:ascii="Cambria Math" w:hAnsi="Cambria Math"/>
                            <w:i/>
                          </w:rPr>
                        </m:ctrlPr>
                      </m:naryPr>
                      <m:sub>
                        <m:r>
                          <w:rPr>
                            <w:rFonts w:ascii="Cambria Math"/>
                          </w:rPr>
                          <m:t>j=l</m:t>
                        </m:r>
                      </m:sub>
                      <m:sup>
                        <m:r>
                          <w:rPr>
                            <w:rFonts w:ascii="Cambria Math"/>
                          </w:rPr>
                          <m:t>k</m:t>
                        </m:r>
                      </m:sup>
                      <m:e>
                        <m:r>
                          <w:rPr>
                            <w:rFonts w:ascii="Cambria Math"/>
                          </w:rPr>
                          <m:t>E</m:t>
                        </m:r>
                        <m:sSub>
                          <m:sSubPr>
                            <m:ctrlPr>
                              <w:rPr>
                                <w:rFonts w:ascii="Cambria Math" w:hAnsi="Cambria Math"/>
                                <w:i/>
                              </w:rPr>
                            </m:ctrlPr>
                          </m:sSubPr>
                          <m:e>
                            <m:r>
                              <w:rPr>
                                <w:rFonts w:ascii="Cambria Math"/>
                              </w:rPr>
                              <m:t>M</m:t>
                            </m:r>
                          </m:e>
                          <m:sub>
                            <m:r>
                              <w:rPr>
                                <w:rFonts w:ascii="Cambria Math"/>
                              </w:rPr>
                              <m:t>all</m:t>
                            </m:r>
                            <m:d>
                              <m:dPr>
                                <m:ctrlPr>
                                  <w:rPr>
                                    <w:rFonts w:ascii="Cambria Math" w:hAnsi="Cambria Math"/>
                                    <w:i/>
                                  </w:rPr>
                                </m:ctrlPr>
                              </m:dPr>
                              <m:e>
                                <m:r>
                                  <w:rPr>
                                    <w:rFonts w:ascii="Cambria Math"/>
                                  </w:rPr>
                                  <m:t>i,j</m:t>
                                </m:r>
                              </m:e>
                            </m:d>
                          </m:sub>
                        </m:sSub>
                      </m:e>
                    </m:nary>
                  </m:e>
                </m:nary>
              </m:oMath>
            </m:oMathPara>
          </w:p>
        </w:tc>
      </w:tr>
      <w:tr w:rsidR="00436C9F" w14:paraId="6E97B8CE" w14:textId="77777777" w:rsidTr="00A6120F">
        <w:trPr>
          <w:trHeight w:val="945"/>
        </w:trPr>
        <w:tc>
          <w:tcPr>
            <w:tcW w:w="1017" w:type="dxa"/>
          </w:tcPr>
          <w:p w14:paraId="35433182" w14:textId="4A001DEE" w:rsidR="00EF4D95" w:rsidRDefault="008D6492" w:rsidP="00A6120F">
            <w:pPr>
              <w:ind w:left="-262"/>
            </w:pPr>
            <m:oMathPara>
              <m:oMath>
                <m:sSub>
                  <m:sSubPr>
                    <m:ctrlPr>
                      <w:rPr>
                        <w:rFonts w:ascii="Cambria Math" w:hAnsi="Cambria Math"/>
                        <w:i/>
                      </w:rPr>
                    </m:ctrlPr>
                  </m:sSubPr>
                  <m:e>
                    <m:r>
                      <w:rPr>
                        <w:rFonts w:ascii="Cambria Math"/>
                      </w:rPr>
                      <m:t>N</m:t>
                    </m:r>
                  </m:e>
                  <m:sub>
                    <m:r>
                      <w:rPr>
                        <w:rFonts w:ascii="Cambria Math"/>
                      </w:rPr>
                      <m:t>act</m:t>
                    </m:r>
                  </m:sub>
                </m:sSub>
              </m:oMath>
            </m:oMathPara>
          </w:p>
        </w:tc>
        <w:tc>
          <w:tcPr>
            <w:tcW w:w="360" w:type="dxa"/>
          </w:tcPr>
          <w:p w14:paraId="6DCF1CF8" w14:textId="77777777" w:rsidR="00EF4D95" w:rsidRDefault="00EF4D95" w:rsidP="00436C9F">
            <w:pPr>
              <w:ind w:left="-108" w:right="-108"/>
            </w:pPr>
            <w:r>
              <w:t>=</w:t>
            </w:r>
          </w:p>
        </w:tc>
        <w:tc>
          <w:tcPr>
            <w:tcW w:w="5688" w:type="dxa"/>
          </w:tcPr>
          <w:p w14:paraId="3D9740A4" w14:textId="77777777" w:rsidR="00EF4D95" w:rsidRDefault="00EF4D95" w:rsidP="00EF4D95">
            <w:r>
              <w:t>Total sum of the actual NO</w:t>
            </w:r>
            <w:r w:rsidRPr="00EF4D95">
              <w:rPr>
                <w:vertAlign w:val="subscript"/>
              </w:rPr>
              <w:t>x</w:t>
            </w:r>
            <w:r>
              <w:t xml:space="preserve"> mass emissions from units included in the averaging plan for each fuel used (tons per ozone season and year).</w:t>
            </w:r>
          </w:p>
        </w:tc>
      </w:tr>
      <w:tr w:rsidR="00436C9F" w14:paraId="27DBA3EC" w14:textId="77777777" w:rsidTr="00A6120F">
        <w:trPr>
          <w:trHeight w:val="945"/>
        </w:trPr>
        <w:tc>
          <w:tcPr>
            <w:tcW w:w="1017" w:type="dxa"/>
          </w:tcPr>
          <w:p w14:paraId="4D999FE3" w14:textId="3184A2BA" w:rsidR="00EF4D95" w:rsidRDefault="008D6492" w:rsidP="00A6120F">
            <w:pPr>
              <w:ind w:left="-262"/>
            </w:pPr>
            <m:oMathPara>
              <m:oMath>
                <m:sSub>
                  <m:sSubPr>
                    <m:ctrlPr>
                      <w:rPr>
                        <w:rFonts w:ascii="Cambria Math" w:hAnsi="Cambria Math"/>
                        <w:i/>
                      </w:rPr>
                    </m:ctrlPr>
                  </m:sSubPr>
                  <m:e>
                    <m:r>
                      <w:rPr>
                        <w:rFonts w:ascii="Cambria Math"/>
                      </w:rPr>
                      <m:t>N</m:t>
                    </m:r>
                  </m:e>
                  <m:sub>
                    <m:r>
                      <w:rPr>
                        <w:rFonts w:ascii="Cambria Math"/>
                      </w:rPr>
                      <m:t>all</m:t>
                    </m:r>
                  </m:sub>
                </m:sSub>
              </m:oMath>
            </m:oMathPara>
          </w:p>
        </w:tc>
        <w:tc>
          <w:tcPr>
            <w:tcW w:w="360" w:type="dxa"/>
          </w:tcPr>
          <w:p w14:paraId="1997946B" w14:textId="77777777" w:rsidR="00EF4D95" w:rsidRDefault="00EF4D95" w:rsidP="00436C9F">
            <w:pPr>
              <w:ind w:left="-108" w:right="-108"/>
            </w:pPr>
            <w:r>
              <w:t>=</w:t>
            </w:r>
          </w:p>
        </w:tc>
        <w:tc>
          <w:tcPr>
            <w:tcW w:w="5688" w:type="dxa"/>
          </w:tcPr>
          <w:p w14:paraId="67259540" w14:textId="77777777" w:rsidR="00EF4D95" w:rsidRDefault="00EF4D95" w:rsidP="00EF4D95">
            <w:r w:rsidRPr="00EF4D95">
              <w:t>Total sum of the allowable NO</w:t>
            </w:r>
            <w:r w:rsidRPr="00EF4D95">
              <w:rPr>
                <w:vertAlign w:val="subscript"/>
              </w:rPr>
              <w:t>x</w:t>
            </w:r>
            <w:r w:rsidRPr="00EF4D95">
              <w:t xml:space="preserve"> mass emissions from units included in the averaging plan for each fuel used (tons per ozone season and year).</w:t>
            </w:r>
          </w:p>
        </w:tc>
      </w:tr>
      <w:tr w:rsidR="00436C9F" w14:paraId="22460E4C" w14:textId="77777777" w:rsidTr="00A6120F">
        <w:trPr>
          <w:trHeight w:val="648"/>
        </w:trPr>
        <w:tc>
          <w:tcPr>
            <w:tcW w:w="1017" w:type="dxa"/>
          </w:tcPr>
          <w:p w14:paraId="302C6F40" w14:textId="4C256A81" w:rsidR="00EF4D95" w:rsidRDefault="00A6120F" w:rsidP="00A6120F">
            <w:pPr>
              <w:ind w:left="-172" w:right="-108"/>
            </w:pPr>
            <m:oMathPara>
              <m:oMath>
                <m:r>
                  <w:rPr>
                    <w:rFonts w:ascii="Cambria Math"/>
                  </w:rPr>
                  <m:t>E</m:t>
                </m:r>
                <m:sSub>
                  <m:sSubPr>
                    <m:ctrlPr>
                      <w:rPr>
                        <w:rFonts w:ascii="Cambria Math" w:hAnsi="Cambria Math"/>
                        <w:i/>
                      </w:rPr>
                    </m:ctrlPr>
                  </m:sSubPr>
                  <m:e>
                    <m:r>
                      <w:rPr>
                        <w:rFonts w:ascii="Cambria Math"/>
                      </w:rPr>
                      <m:t>M</m:t>
                    </m:r>
                  </m:e>
                  <m:sub>
                    <m:r>
                      <w:rPr>
                        <w:rFonts w:ascii="Cambria Math"/>
                      </w:rPr>
                      <m:t>act(i)</m:t>
                    </m:r>
                  </m:sub>
                </m:sSub>
              </m:oMath>
            </m:oMathPara>
          </w:p>
        </w:tc>
        <w:tc>
          <w:tcPr>
            <w:tcW w:w="360" w:type="dxa"/>
          </w:tcPr>
          <w:p w14:paraId="33B4ADE9" w14:textId="77777777" w:rsidR="00EF4D95" w:rsidRDefault="00EF4D95" w:rsidP="00436C9F">
            <w:pPr>
              <w:ind w:left="-108" w:right="-108"/>
            </w:pPr>
            <w:r>
              <w:t>=</w:t>
            </w:r>
          </w:p>
        </w:tc>
        <w:tc>
          <w:tcPr>
            <w:tcW w:w="5688" w:type="dxa"/>
          </w:tcPr>
          <w:p w14:paraId="35809E4F" w14:textId="77777777" w:rsidR="00EF4D95" w:rsidRPr="001B7275" w:rsidRDefault="00EF4D95" w:rsidP="001B7275">
            <w:r w:rsidRPr="001B7275">
              <w:t>Total mass of actual NO</w:t>
            </w:r>
            <w:r w:rsidR="001B7275" w:rsidRPr="001B7275">
              <w:rPr>
                <w:vertAlign w:val="subscript"/>
              </w:rPr>
              <w:t>x</w:t>
            </w:r>
            <w:r w:rsidRPr="001B7275">
              <w:t xml:space="preserve"> emissions in tons for a unit as determined in subsection (f)(1) of this Section.</w:t>
            </w:r>
          </w:p>
        </w:tc>
      </w:tr>
      <w:tr w:rsidR="00436C9F" w14:paraId="7BC490A4" w14:textId="77777777" w:rsidTr="00A6120F">
        <w:trPr>
          <w:trHeight w:val="360"/>
        </w:trPr>
        <w:tc>
          <w:tcPr>
            <w:tcW w:w="1017" w:type="dxa"/>
          </w:tcPr>
          <w:p w14:paraId="749F4C07" w14:textId="77777777" w:rsidR="00EF4D95" w:rsidRDefault="00EF4D95" w:rsidP="00100715">
            <w:pPr>
              <w:ind w:right="-109"/>
            </w:pPr>
            <w:r>
              <w:t>i</w:t>
            </w:r>
          </w:p>
        </w:tc>
        <w:tc>
          <w:tcPr>
            <w:tcW w:w="360" w:type="dxa"/>
          </w:tcPr>
          <w:p w14:paraId="1E34A141" w14:textId="77777777" w:rsidR="00EF4D95" w:rsidRDefault="00EF4D95" w:rsidP="00436C9F">
            <w:pPr>
              <w:ind w:left="-108" w:right="-108"/>
            </w:pPr>
            <w:r>
              <w:t>=</w:t>
            </w:r>
          </w:p>
        </w:tc>
        <w:tc>
          <w:tcPr>
            <w:tcW w:w="5688" w:type="dxa"/>
          </w:tcPr>
          <w:p w14:paraId="641B0610" w14:textId="77777777" w:rsidR="00EF4D95" w:rsidRDefault="00EF4D95" w:rsidP="00EF4D95">
            <w:r w:rsidRPr="00EF4D95">
              <w:t>Subscript denoting an individual unit.</w:t>
            </w:r>
          </w:p>
        </w:tc>
      </w:tr>
      <w:tr w:rsidR="00436C9F" w14:paraId="69DF503F" w14:textId="77777777" w:rsidTr="00A6120F">
        <w:trPr>
          <w:trHeight w:val="378"/>
        </w:trPr>
        <w:tc>
          <w:tcPr>
            <w:tcW w:w="1017" w:type="dxa"/>
          </w:tcPr>
          <w:p w14:paraId="3EEDD4F2" w14:textId="77777777" w:rsidR="00EF4D95" w:rsidRDefault="00EF4D95" w:rsidP="00100715">
            <w:pPr>
              <w:ind w:right="-109"/>
            </w:pPr>
            <w:r>
              <w:t>j</w:t>
            </w:r>
          </w:p>
        </w:tc>
        <w:tc>
          <w:tcPr>
            <w:tcW w:w="360" w:type="dxa"/>
          </w:tcPr>
          <w:p w14:paraId="450F1B02" w14:textId="77777777" w:rsidR="00EF4D95" w:rsidRDefault="00EF4D95" w:rsidP="00436C9F">
            <w:pPr>
              <w:ind w:left="-108" w:right="-108"/>
            </w:pPr>
            <w:r>
              <w:t>=</w:t>
            </w:r>
          </w:p>
        </w:tc>
        <w:tc>
          <w:tcPr>
            <w:tcW w:w="5688" w:type="dxa"/>
          </w:tcPr>
          <w:p w14:paraId="6F8C066C" w14:textId="77777777" w:rsidR="00EF4D95" w:rsidRDefault="00EF4D95" w:rsidP="00EF4D95">
            <w:r w:rsidRPr="00EF4D95">
              <w:t>Subscript denoting the fuel type used.</w:t>
            </w:r>
          </w:p>
        </w:tc>
      </w:tr>
      <w:tr w:rsidR="00436C9F" w14:paraId="48FFE678" w14:textId="77777777" w:rsidTr="00A6120F">
        <w:trPr>
          <w:trHeight w:val="378"/>
        </w:trPr>
        <w:tc>
          <w:tcPr>
            <w:tcW w:w="1017" w:type="dxa"/>
          </w:tcPr>
          <w:p w14:paraId="37167A32" w14:textId="77777777" w:rsidR="00EF4D95" w:rsidRDefault="00EF4D95" w:rsidP="00100715">
            <w:pPr>
              <w:ind w:right="-109"/>
            </w:pPr>
            <w:r>
              <w:t>k</w:t>
            </w:r>
          </w:p>
        </w:tc>
        <w:tc>
          <w:tcPr>
            <w:tcW w:w="360" w:type="dxa"/>
          </w:tcPr>
          <w:p w14:paraId="745AACEC" w14:textId="77777777" w:rsidR="00EF4D95" w:rsidRDefault="00EF4D95" w:rsidP="00436C9F">
            <w:pPr>
              <w:ind w:left="-108" w:right="-108"/>
            </w:pPr>
            <w:r>
              <w:t>=</w:t>
            </w:r>
          </w:p>
        </w:tc>
        <w:tc>
          <w:tcPr>
            <w:tcW w:w="5688" w:type="dxa"/>
          </w:tcPr>
          <w:p w14:paraId="55A8D4FE" w14:textId="77777777" w:rsidR="00EF4D95" w:rsidRDefault="00EF4D95" w:rsidP="00EF4D95">
            <w:r w:rsidRPr="00EF4D95">
              <w:t>Number of different fuel types.</w:t>
            </w:r>
          </w:p>
        </w:tc>
      </w:tr>
      <w:tr w:rsidR="00436C9F" w14:paraId="181D8FBD" w14:textId="77777777" w:rsidTr="00A6120F">
        <w:trPr>
          <w:trHeight w:val="324"/>
        </w:trPr>
        <w:tc>
          <w:tcPr>
            <w:tcW w:w="1017" w:type="dxa"/>
          </w:tcPr>
          <w:p w14:paraId="1C396D67" w14:textId="77777777" w:rsidR="00EF4D95" w:rsidRDefault="00EF4D95" w:rsidP="00100715">
            <w:pPr>
              <w:ind w:right="-109"/>
            </w:pPr>
            <w:r>
              <w:t>n</w:t>
            </w:r>
          </w:p>
        </w:tc>
        <w:tc>
          <w:tcPr>
            <w:tcW w:w="360" w:type="dxa"/>
          </w:tcPr>
          <w:p w14:paraId="6226B9CB" w14:textId="77777777" w:rsidR="00EF4D95" w:rsidRDefault="00EF4D95" w:rsidP="00436C9F">
            <w:pPr>
              <w:ind w:left="-108" w:right="-108"/>
            </w:pPr>
            <w:r>
              <w:t>=</w:t>
            </w:r>
          </w:p>
        </w:tc>
        <w:tc>
          <w:tcPr>
            <w:tcW w:w="5688" w:type="dxa"/>
          </w:tcPr>
          <w:p w14:paraId="02B2957D" w14:textId="77777777" w:rsidR="00EF4D95" w:rsidRDefault="00EF4D95" w:rsidP="00EF4D95">
            <w:r w:rsidRPr="00EF4D95">
              <w:t>Number of different units in the averaging plan.</w:t>
            </w:r>
          </w:p>
        </w:tc>
      </w:tr>
      <w:tr w:rsidR="00436C9F" w14:paraId="1C6A69B8" w14:textId="77777777" w:rsidTr="00A6120F">
        <w:tc>
          <w:tcPr>
            <w:tcW w:w="1017" w:type="dxa"/>
          </w:tcPr>
          <w:p w14:paraId="41200966" w14:textId="1E0DD82C" w:rsidR="00EF4D95" w:rsidRDefault="00A6120F" w:rsidP="00100715">
            <w:pPr>
              <w:ind w:left="-100" w:right="-109"/>
            </w:pPr>
            <m:oMathPara>
              <m:oMath>
                <m:r>
                  <w:rPr>
                    <w:rFonts w:ascii="Cambria Math"/>
                  </w:rPr>
                  <m:t>E</m:t>
                </m:r>
                <m:sSub>
                  <m:sSubPr>
                    <m:ctrlPr>
                      <w:rPr>
                        <w:rFonts w:ascii="Cambria Math" w:hAnsi="Cambria Math"/>
                        <w:i/>
                      </w:rPr>
                    </m:ctrlPr>
                  </m:sSubPr>
                  <m:e>
                    <m:r>
                      <w:rPr>
                        <w:rFonts w:ascii="Cambria Math"/>
                      </w:rPr>
                      <m:t>M</m:t>
                    </m:r>
                  </m:e>
                  <m:sub>
                    <m:r>
                      <w:rPr>
                        <w:rFonts w:ascii="Cambria Math"/>
                      </w:rPr>
                      <m:t>all(i)</m:t>
                    </m:r>
                  </m:sub>
                </m:sSub>
              </m:oMath>
            </m:oMathPara>
          </w:p>
        </w:tc>
        <w:tc>
          <w:tcPr>
            <w:tcW w:w="360" w:type="dxa"/>
          </w:tcPr>
          <w:p w14:paraId="05156054" w14:textId="77777777" w:rsidR="00EF4D95" w:rsidRDefault="00EF4D95" w:rsidP="00436C9F">
            <w:pPr>
              <w:ind w:left="-108" w:right="-108"/>
            </w:pPr>
            <w:r>
              <w:t>=</w:t>
            </w:r>
          </w:p>
        </w:tc>
        <w:tc>
          <w:tcPr>
            <w:tcW w:w="5688" w:type="dxa"/>
          </w:tcPr>
          <w:p w14:paraId="201D3AED" w14:textId="37A2EBEF" w:rsidR="00EF4D95" w:rsidRPr="00436C9F" w:rsidRDefault="00436C9F" w:rsidP="00436C9F">
            <w:r w:rsidRPr="00436C9F">
              <w:t>Total mass of allowable NO</w:t>
            </w:r>
            <w:r w:rsidRPr="00436C9F">
              <w:rPr>
                <w:vertAlign w:val="subscript"/>
              </w:rPr>
              <w:t>x</w:t>
            </w:r>
            <w:r w:rsidRPr="00436C9F">
              <w:t xml:space="preserve"> emissions in tons for a unit as determined in subsection (</w:t>
            </w:r>
            <w:r w:rsidR="00AC3119">
              <w:t>g</w:t>
            </w:r>
            <w:r w:rsidRPr="00436C9F">
              <w:t>)(2) of this Section.</w:t>
            </w:r>
          </w:p>
        </w:tc>
      </w:tr>
    </w:tbl>
    <w:p w14:paraId="2D464B63" w14:textId="77777777" w:rsidR="00EF4D95" w:rsidRPr="00EF4D95" w:rsidRDefault="00EF4D95" w:rsidP="00EF4D95"/>
    <w:p w14:paraId="7CC6EA74" w14:textId="0041EF5E" w:rsidR="00EF4D95" w:rsidRPr="00436C9F" w:rsidRDefault="00EF4D95" w:rsidP="00436C9F">
      <w:pPr>
        <w:ind w:left="1440"/>
      </w:pPr>
      <w:r w:rsidRPr="00436C9F">
        <w:t xml:space="preserve">For each unit in the averaging plan, and each fuel used by </w:t>
      </w:r>
      <w:r w:rsidR="00AC3119">
        <w:t>the</w:t>
      </w:r>
      <w:r w:rsidRPr="00436C9F">
        <w:t xml:space="preserve"> unit, determine</w:t>
      </w:r>
      <w:r w:rsidR="002140AE">
        <w:t xml:space="preserve"> </w:t>
      </w:r>
      <w:r w:rsidRPr="00436C9F">
        <w:t>actual and allowable NO</w:t>
      </w:r>
      <w:r w:rsidRPr="002140AE">
        <w:rPr>
          <w:vertAlign w:val="subscript"/>
        </w:rPr>
        <w:t>x</w:t>
      </w:r>
      <w:r w:rsidRPr="00436C9F">
        <w:t xml:space="preserve"> emissions using the following equations:</w:t>
      </w:r>
    </w:p>
    <w:p w14:paraId="761D6E01" w14:textId="77777777" w:rsidR="00EF4D95" w:rsidRPr="00EF4D95" w:rsidRDefault="00EF4D95" w:rsidP="00EF4D95"/>
    <w:p w14:paraId="621224F5" w14:textId="77777777" w:rsidR="00EF4D95" w:rsidRPr="00EF4D95" w:rsidRDefault="00EF4D95" w:rsidP="00EF4D95">
      <w:pPr>
        <w:ind w:left="720" w:firstLine="720"/>
      </w:pPr>
      <w:r w:rsidRPr="00EF4D95">
        <w:t>1)</w:t>
      </w:r>
      <w:r>
        <w:tab/>
      </w:r>
      <w:r w:rsidRPr="00EF4D95">
        <w:t>Actual emissions must be determined as follows:</w:t>
      </w:r>
    </w:p>
    <w:p w14:paraId="6D20A9F0" w14:textId="77777777" w:rsidR="00EF4D95" w:rsidRPr="00EF4D95" w:rsidRDefault="00EF4D95" w:rsidP="00EF4D95"/>
    <w:p w14:paraId="19243B59" w14:textId="77777777" w:rsidR="00EF4D95" w:rsidRPr="00EF4D95" w:rsidRDefault="00EF4D95" w:rsidP="00436C9F">
      <w:pPr>
        <w:ind w:left="1440" w:firstLine="720"/>
      </w:pPr>
      <w:r w:rsidRPr="00EF4D95">
        <w:t>When emission limits are prescribed in lb/mmBtu,</w:t>
      </w:r>
    </w:p>
    <w:p w14:paraId="1E05932F" w14:textId="0711B84F" w:rsidR="00436C9F" w:rsidRDefault="00436C9F" w:rsidP="00572EF2"/>
    <w:p w14:paraId="4DD8641F" w14:textId="7C889DD2" w:rsidR="00A6120F" w:rsidRDefault="008D6492" w:rsidP="00A6120F">
      <w:pPr>
        <w:ind w:left="1440" w:right="1350" w:firstLine="720"/>
      </w:pPr>
      <m:oMathPara>
        <m:oMath>
          <m:sSub>
            <m:sSubPr>
              <m:ctrlPr>
                <w:rPr>
                  <w:rFonts w:ascii="Cambria Math" w:hAnsi="Cambria Math"/>
                  <w:i/>
                </w:rPr>
              </m:ctrlPr>
            </m:sSubPr>
            <m:e>
              <m:r>
                <w:rPr>
                  <w:rFonts w:ascii="Cambria Math" w:hAnsi="Cambria Math"/>
                </w:rPr>
                <m:t>EM</m:t>
              </m:r>
            </m:e>
            <m:sub>
              <m:r>
                <w:rPr>
                  <w:rFonts w:ascii="Cambria Math" w:hAnsi="Cambria Math"/>
                </w:rPr>
                <m:t>act(i)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act(i)</m:t>
              </m:r>
            </m:sub>
          </m:sSub>
          <m:r>
            <w:rPr>
              <w:rFonts w:ascii="Cambria Math" w:hAnsi="Cambria Math"/>
            </w:rPr>
            <m:t>x</m:t>
          </m:r>
          <m:f>
            <m:fPr>
              <m:type m:val="skw"/>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i</m:t>
                  </m:r>
                </m:sub>
              </m:sSub>
            </m:num>
            <m:den>
              <m:r>
                <w:rPr>
                  <w:rFonts w:ascii="Cambria Math" w:hAnsi="Cambria Math"/>
                </w:rPr>
                <m:t>2000</m:t>
              </m:r>
            </m:den>
          </m:f>
        </m:oMath>
      </m:oMathPara>
    </w:p>
    <w:p w14:paraId="08EE9C5E" w14:textId="77777777" w:rsidR="00A6120F" w:rsidRDefault="00A6120F" w:rsidP="00572EF2"/>
    <w:p w14:paraId="6572CFB5" w14:textId="77777777" w:rsidR="00EF4D95" w:rsidRPr="00EF4D95" w:rsidRDefault="00EF4D95" w:rsidP="00EF4D95"/>
    <w:p w14:paraId="009751D6" w14:textId="77777777" w:rsidR="00EF4D95" w:rsidRPr="00EF4D95" w:rsidRDefault="00EF4D95" w:rsidP="00436C9F">
      <w:pPr>
        <w:ind w:left="1440" w:firstLine="720"/>
      </w:pPr>
      <w:r w:rsidRPr="00EF4D95">
        <w:t>When emission limits are prescribed in lb/ton of processed product,</w:t>
      </w:r>
    </w:p>
    <w:p w14:paraId="482B349E" w14:textId="381A4AF2" w:rsidR="00436C9F" w:rsidRDefault="00436C9F" w:rsidP="00EF4D95"/>
    <w:p w14:paraId="30C69EB4" w14:textId="201B75BB" w:rsidR="00A6120F" w:rsidRDefault="008D6492" w:rsidP="00A6120F">
      <w:pPr>
        <w:ind w:left="1440" w:right="1440" w:firstLine="720"/>
      </w:pPr>
      <m:oMathPara>
        <m:oMath>
          <m:sSub>
            <m:sSubPr>
              <m:ctrlPr>
                <w:rPr>
                  <w:rFonts w:ascii="Cambria Math" w:hAnsi="Cambria Math"/>
                  <w:i/>
                </w:rPr>
              </m:ctrlPr>
            </m:sSubPr>
            <m:e>
              <m:r>
                <w:rPr>
                  <w:rFonts w:ascii="Cambria Math" w:hAnsi="Cambria Math"/>
                </w:rPr>
                <m:t>EM</m:t>
              </m:r>
            </m:e>
            <m:sub>
              <m:r>
                <w:rPr>
                  <w:rFonts w:ascii="Cambria Math" w:hAnsi="Cambria Math"/>
                </w:rPr>
                <m:t>act(i)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act(i)</m:t>
              </m:r>
            </m:sub>
          </m:sSub>
          <m:r>
            <w:rPr>
              <w:rFonts w:ascii="Cambria Math" w:hAnsi="Cambria Math"/>
            </w:rPr>
            <m:t>x</m:t>
          </m:r>
          <m:f>
            <m:fPr>
              <m:type m:val="skw"/>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r>
                <w:rPr>
                  <w:rFonts w:ascii="Cambria Math" w:hAnsi="Cambria Math"/>
                </w:rPr>
                <m:t>2000</m:t>
              </m:r>
            </m:den>
          </m:f>
        </m:oMath>
      </m:oMathPara>
    </w:p>
    <w:p w14:paraId="63B9F87C" w14:textId="707E8D54" w:rsidR="00A6120F" w:rsidRDefault="00A6120F" w:rsidP="00EF4D95"/>
    <w:p w14:paraId="60A92C1D" w14:textId="77777777" w:rsidR="00EF4D95" w:rsidRPr="00EF4D95" w:rsidRDefault="00EF4D95" w:rsidP="00EF4D95">
      <w:pPr>
        <w:ind w:left="720" w:firstLine="720"/>
      </w:pPr>
      <w:r w:rsidRPr="00EF4D95">
        <w:t>2)</w:t>
      </w:r>
      <w:r>
        <w:tab/>
      </w:r>
      <w:r w:rsidRPr="00EF4D95">
        <w:t>Allowable emissions must be determined as follows:</w:t>
      </w:r>
    </w:p>
    <w:p w14:paraId="550E2E39" w14:textId="77777777" w:rsidR="00EF4D95" w:rsidRPr="00EF4D95" w:rsidRDefault="00EF4D95" w:rsidP="00EF4D95"/>
    <w:p w14:paraId="1C102ACF" w14:textId="77777777" w:rsidR="00EF4D95" w:rsidRPr="00EF4D95" w:rsidRDefault="00EF4D95" w:rsidP="00436C9F">
      <w:pPr>
        <w:ind w:left="1440" w:firstLine="720"/>
      </w:pPr>
      <w:r w:rsidRPr="00EF4D95">
        <w:t>When emission limits are prescribed in lb/mmBtu,</w:t>
      </w:r>
    </w:p>
    <w:p w14:paraId="33470278" w14:textId="23B5626A" w:rsidR="00436C9F" w:rsidRDefault="00436C9F" w:rsidP="00EF4D95"/>
    <w:p w14:paraId="2B9DD7E9" w14:textId="6A7EE0B1" w:rsidR="00A6120F" w:rsidRDefault="008D6492" w:rsidP="00A6120F">
      <w:pPr>
        <w:ind w:left="1440" w:right="1620" w:firstLine="720"/>
      </w:pPr>
      <m:oMathPara>
        <m:oMath>
          <m:sSub>
            <m:sSubPr>
              <m:ctrlPr>
                <w:rPr>
                  <w:rFonts w:ascii="Cambria Math" w:hAnsi="Cambria Math"/>
                  <w:i/>
                </w:rPr>
              </m:ctrlPr>
            </m:sSubPr>
            <m:e>
              <m:r>
                <w:rPr>
                  <w:rFonts w:ascii="Cambria Math" w:hAnsi="Cambria Math"/>
                </w:rPr>
                <m:t>EM</m:t>
              </m:r>
            </m:e>
            <m:sub>
              <m:r>
                <w:rPr>
                  <w:rFonts w:ascii="Cambria Math" w:hAnsi="Cambria Math"/>
                </w:rPr>
                <m:t>all(i)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all(i)</m:t>
              </m:r>
            </m:sub>
          </m:sSub>
          <m:r>
            <w:rPr>
              <w:rFonts w:ascii="Cambria Math" w:hAnsi="Cambria Math"/>
            </w:rPr>
            <m:t>x</m:t>
          </m:r>
          <m:f>
            <m:fPr>
              <m:type m:val="skw"/>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i</m:t>
                  </m:r>
                </m:sub>
              </m:sSub>
            </m:num>
            <m:den>
              <m:r>
                <w:rPr>
                  <w:rFonts w:ascii="Cambria Math" w:hAnsi="Cambria Math"/>
                </w:rPr>
                <m:t>2000</m:t>
              </m:r>
            </m:den>
          </m:f>
        </m:oMath>
      </m:oMathPara>
    </w:p>
    <w:p w14:paraId="008D53CE" w14:textId="48D4AA67" w:rsidR="00A6120F" w:rsidRDefault="00A6120F" w:rsidP="00EF4D95"/>
    <w:p w14:paraId="71BD2333" w14:textId="77777777" w:rsidR="00EF4D95" w:rsidRPr="00EF4D95" w:rsidRDefault="00EF4D95" w:rsidP="00436C9F">
      <w:pPr>
        <w:ind w:left="1440" w:firstLine="720"/>
      </w:pPr>
      <w:r w:rsidRPr="00EF4D95">
        <w:t>When emission limits are prescribed in lb/ton of processed product,</w:t>
      </w:r>
    </w:p>
    <w:p w14:paraId="7FFC6099" w14:textId="101F9223" w:rsidR="00436C9F" w:rsidRDefault="00436C9F" w:rsidP="00EF4D95"/>
    <w:p w14:paraId="763ED039" w14:textId="58805322" w:rsidR="00A6120F" w:rsidRDefault="008D6492" w:rsidP="00A6120F">
      <w:pPr>
        <w:ind w:left="1440" w:right="1620" w:firstLine="720"/>
      </w:pPr>
      <m:oMathPara>
        <m:oMath>
          <m:sSub>
            <m:sSubPr>
              <m:ctrlPr>
                <w:rPr>
                  <w:rFonts w:ascii="Cambria Math" w:hAnsi="Cambria Math"/>
                  <w:i/>
                </w:rPr>
              </m:ctrlPr>
            </m:sSubPr>
            <m:e>
              <m:r>
                <w:rPr>
                  <w:rFonts w:ascii="Cambria Math" w:hAnsi="Cambria Math"/>
                </w:rPr>
                <m:t>EM</m:t>
              </m:r>
            </m:e>
            <m:sub>
              <m:r>
                <w:rPr>
                  <w:rFonts w:ascii="Cambria Math" w:hAnsi="Cambria Math"/>
                </w:rPr>
                <m:t>all(i)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all(i)</m:t>
              </m:r>
            </m:sub>
          </m:sSub>
          <m:r>
            <w:rPr>
              <w:rFonts w:ascii="Cambria Math" w:hAnsi="Cambria Math"/>
            </w:rPr>
            <m:t>x</m:t>
          </m:r>
          <m:f>
            <m:fPr>
              <m:type m:val="skw"/>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r>
                <w:rPr>
                  <w:rFonts w:ascii="Cambria Math" w:hAnsi="Cambria Math"/>
                </w:rPr>
                <m:t>2000</m:t>
              </m:r>
            </m:den>
          </m:f>
        </m:oMath>
      </m:oMathPara>
    </w:p>
    <w:p w14:paraId="11549E05" w14:textId="77777777" w:rsidR="00A6120F" w:rsidRDefault="00A6120F" w:rsidP="00EF4D95"/>
    <w:p w14:paraId="290C8EEB" w14:textId="77777777" w:rsidR="00EF4D95" w:rsidRPr="00EF4D95" w:rsidRDefault="00EF4D95" w:rsidP="001B7275">
      <w:pPr>
        <w:ind w:left="1440" w:firstLine="720"/>
      </w:pPr>
      <w:r w:rsidRPr="00EF4D95">
        <w:t>Where:</w:t>
      </w:r>
    </w:p>
    <w:p w14:paraId="61D393A7" w14:textId="77777777" w:rsidR="00EF4D95" w:rsidRDefault="00EF4D95" w:rsidP="00EF4D95"/>
    <w:tbl>
      <w:tblPr>
        <w:tblW w:w="7165" w:type="dxa"/>
        <w:tblInd w:w="2538" w:type="dxa"/>
        <w:tblLook w:val="0000" w:firstRow="0" w:lastRow="0" w:firstColumn="0" w:lastColumn="0" w:noHBand="0" w:noVBand="0"/>
      </w:tblPr>
      <w:tblGrid>
        <w:gridCol w:w="990"/>
        <w:gridCol w:w="127"/>
        <w:gridCol w:w="270"/>
        <w:gridCol w:w="5778"/>
      </w:tblGrid>
      <w:tr w:rsidR="001B7275" w14:paraId="762AF879" w14:textId="77777777" w:rsidTr="003B3994">
        <w:trPr>
          <w:trHeight w:val="513"/>
        </w:trPr>
        <w:tc>
          <w:tcPr>
            <w:tcW w:w="1117" w:type="dxa"/>
            <w:gridSpan w:val="2"/>
          </w:tcPr>
          <w:p w14:paraId="0CD4560C" w14:textId="306CFA3F" w:rsidR="001B7275" w:rsidRDefault="00A6120F" w:rsidP="003B3994">
            <w:pPr>
              <w:ind w:left="-472"/>
            </w:pPr>
            <m:oMathPara>
              <m:oMath>
                <m:r>
                  <w:rPr>
                    <w:rFonts w:ascii="Cambria Math"/>
                  </w:rPr>
                  <m:t>E</m:t>
                </m:r>
                <m:sSub>
                  <m:sSubPr>
                    <m:ctrlPr>
                      <w:rPr>
                        <w:rFonts w:ascii="Cambria Math" w:hAnsi="Cambria Math"/>
                        <w:i/>
                      </w:rPr>
                    </m:ctrlPr>
                  </m:sSubPr>
                  <m:e>
                    <m:r>
                      <w:rPr>
                        <w:rFonts w:ascii="Cambria Math"/>
                      </w:rPr>
                      <m:t>M</m:t>
                    </m:r>
                  </m:e>
                  <m:sub>
                    <m:r>
                      <w:rPr>
                        <w:rFonts w:ascii="Cambria Math"/>
                      </w:rPr>
                      <m:t>act(i)</m:t>
                    </m:r>
                  </m:sub>
                </m:sSub>
              </m:oMath>
            </m:oMathPara>
          </w:p>
        </w:tc>
        <w:tc>
          <w:tcPr>
            <w:tcW w:w="270" w:type="dxa"/>
          </w:tcPr>
          <w:p w14:paraId="48F5BECF" w14:textId="77777777" w:rsidR="001B7275" w:rsidRDefault="001B7275" w:rsidP="00E51DF5">
            <w:pPr>
              <w:ind w:left="-108" w:right="-108"/>
            </w:pPr>
            <w:r>
              <w:t>=</w:t>
            </w:r>
          </w:p>
        </w:tc>
        <w:tc>
          <w:tcPr>
            <w:tcW w:w="5778" w:type="dxa"/>
          </w:tcPr>
          <w:p w14:paraId="16A5EABC" w14:textId="77777777" w:rsidR="001B7275" w:rsidRPr="001B7275" w:rsidRDefault="001B7275" w:rsidP="001B7275">
            <w:r w:rsidRPr="001B7275">
              <w:t>Total mass of actual NO</w:t>
            </w:r>
            <w:r w:rsidRPr="001B7275">
              <w:rPr>
                <w:vertAlign w:val="subscript"/>
              </w:rPr>
              <w:t>x</w:t>
            </w:r>
            <w:r w:rsidRPr="001B7275">
              <w:t xml:space="preserve"> emissions in tons for a unit. </w:t>
            </w:r>
          </w:p>
        </w:tc>
      </w:tr>
      <w:tr w:rsidR="001B7275" w14:paraId="4C929E0B" w14:textId="77777777" w:rsidTr="003B3994">
        <w:trPr>
          <w:trHeight w:val="522"/>
        </w:trPr>
        <w:tc>
          <w:tcPr>
            <w:tcW w:w="1117" w:type="dxa"/>
            <w:gridSpan w:val="2"/>
          </w:tcPr>
          <w:p w14:paraId="698B336A" w14:textId="00416F9C" w:rsidR="001B7275" w:rsidRDefault="00100715" w:rsidP="00100715">
            <w:pPr>
              <w:ind w:left="-468"/>
            </w:pPr>
            <m:oMathPara>
              <m:oMath>
                <m:r>
                  <w:rPr>
                    <w:rFonts w:ascii="Cambria Math"/>
                  </w:rPr>
                  <m:t>E</m:t>
                </m:r>
                <m:sSub>
                  <m:sSubPr>
                    <m:ctrlPr>
                      <w:rPr>
                        <w:rFonts w:ascii="Cambria Math" w:hAnsi="Cambria Math"/>
                        <w:i/>
                      </w:rPr>
                    </m:ctrlPr>
                  </m:sSubPr>
                  <m:e>
                    <m:r>
                      <w:rPr>
                        <w:rFonts w:ascii="Cambria Math"/>
                      </w:rPr>
                      <m:t>M</m:t>
                    </m:r>
                  </m:e>
                  <m:sub>
                    <m:r>
                      <w:rPr>
                        <w:rFonts w:ascii="Cambria Math"/>
                      </w:rPr>
                      <m:t>all(i)</m:t>
                    </m:r>
                  </m:sub>
                </m:sSub>
              </m:oMath>
            </m:oMathPara>
          </w:p>
        </w:tc>
        <w:tc>
          <w:tcPr>
            <w:tcW w:w="270" w:type="dxa"/>
          </w:tcPr>
          <w:p w14:paraId="1C405448" w14:textId="77777777" w:rsidR="001B7275" w:rsidRDefault="001B7275" w:rsidP="00E51DF5">
            <w:pPr>
              <w:ind w:left="-108" w:right="-108"/>
            </w:pPr>
            <w:r>
              <w:t>=</w:t>
            </w:r>
          </w:p>
        </w:tc>
        <w:tc>
          <w:tcPr>
            <w:tcW w:w="5778" w:type="dxa"/>
          </w:tcPr>
          <w:p w14:paraId="6AEE21C6" w14:textId="77777777" w:rsidR="001B7275" w:rsidRPr="001B7275" w:rsidRDefault="001B7275" w:rsidP="001B7275">
            <w:r w:rsidRPr="001B7275">
              <w:t>Total mass of allowable NO</w:t>
            </w:r>
            <w:r w:rsidRPr="001B7275">
              <w:rPr>
                <w:vertAlign w:val="subscript"/>
              </w:rPr>
              <w:t>x</w:t>
            </w:r>
            <w:r w:rsidRPr="001B7275">
              <w:t xml:space="preserve"> emissions in tons for a unit.</w:t>
            </w:r>
          </w:p>
        </w:tc>
      </w:tr>
      <w:tr w:rsidR="001B7275" w14:paraId="39ACDF0C" w14:textId="77777777" w:rsidTr="003B3994">
        <w:trPr>
          <w:trHeight w:val="981"/>
        </w:trPr>
        <w:tc>
          <w:tcPr>
            <w:tcW w:w="1117" w:type="dxa"/>
            <w:gridSpan w:val="2"/>
          </w:tcPr>
          <w:p w14:paraId="2FC5E23D" w14:textId="5DA3F682" w:rsidR="001B7275" w:rsidRDefault="008D6492" w:rsidP="003B3994">
            <w:pPr>
              <w:ind w:left="-472"/>
            </w:pPr>
            <m:oMathPara>
              <m:oMath>
                <m:sSub>
                  <m:sSubPr>
                    <m:ctrlPr>
                      <w:rPr>
                        <w:rFonts w:ascii="Cambria Math" w:hAnsi="Cambria Math"/>
                        <w:i/>
                      </w:rPr>
                    </m:ctrlPr>
                  </m:sSubPr>
                  <m:e>
                    <m:r>
                      <w:rPr>
                        <w:rFonts w:ascii="Cambria Math"/>
                      </w:rPr>
                      <m:t>E</m:t>
                    </m:r>
                  </m:e>
                  <m:sub>
                    <m:r>
                      <w:rPr>
                        <w:rFonts w:ascii="Cambria Math"/>
                      </w:rPr>
                      <m:t>act</m:t>
                    </m:r>
                  </m:sub>
                </m:sSub>
              </m:oMath>
            </m:oMathPara>
          </w:p>
        </w:tc>
        <w:tc>
          <w:tcPr>
            <w:tcW w:w="270" w:type="dxa"/>
          </w:tcPr>
          <w:p w14:paraId="55851A9F" w14:textId="77777777" w:rsidR="001B7275" w:rsidRDefault="001B7275" w:rsidP="00E51DF5">
            <w:pPr>
              <w:ind w:left="-108" w:right="-108"/>
            </w:pPr>
            <w:r>
              <w:t>=</w:t>
            </w:r>
          </w:p>
        </w:tc>
        <w:tc>
          <w:tcPr>
            <w:tcW w:w="5778" w:type="dxa"/>
          </w:tcPr>
          <w:p w14:paraId="6E5B2525" w14:textId="4E023523" w:rsidR="001B7275" w:rsidRPr="001B7275" w:rsidRDefault="001B7275" w:rsidP="001B7275">
            <w:r w:rsidRPr="001B7275">
              <w:t>Actual NO</w:t>
            </w:r>
            <w:r w:rsidRPr="001B7275">
              <w:rPr>
                <w:vertAlign w:val="subscript"/>
              </w:rPr>
              <w:t>x</w:t>
            </w:r>
            <w:r w:rsidRPr="001B7275">
              <w:t xml:space="preserve"> emission rate (lbs/mmBtu or lbs/ton of product) as determined by a performance test, </w:t>
            </w:r>
            <w:r w:rsidR="002140AE">
              <w:t xml:space="preserve">a </w:t>
            </w:r>
            <w:r w:rsidR="00AC3119">
              <w:rPr>
                <w:szCs w:val="24"/>
              </w:rPr>
              <w:t>CEMS</w:t>
            </w:r>
            <w:r w:rsidRPr="001B7275">
              <w:t>, or an alternative method approved by the Agency.</w:t>
            </w:r>
          </w:p>
        </w:tc>
      </w:tr>
      <w:tr w:rsidR="001B7275" w14:paraId="7528A5A6" w14:textId="77777777" w:rsidTr="003B3994">
        <w:trPr>
          <w:trHeight w:val="4365"/>
        </w:trPr>
        <w:tc>
          <w:tcPr>
            <w:tcW w:w="990" w:type="dxa"/>
          </w:tcPr>
          <w:p w14:paraId="37F5AAB3" w14:textId="1F2DBEA4" w:rsidR="001B7275" w:rsidRDefault="008D6492" w:rsidP="003B3994">
            <w:pPr>
              <w:ind w:left="-472" w:right="-138"/>
            </w:pPr>
            <m:oMathPara>
              <m:oMath>
                <m:sSub>
                  <m:sSubPr>
                    <m:ctrlPr>
                      <w:rPr>
                        <w:rFonts w:ascii="Cambria Math" w:hAnsi="Cambria Math"/>
                        <w:i/>
                      </w:rPr>
                    </m:ctrlPr>
                  </m:sSubPr>
                  <m:e>
                    <m:r>
                      <w:rPr>
                        <w:rFonts w:ascii="Cambria Math"/>
                      </w:rPr>
                      <m:t>E</m:t>
                    </m:r>
                  </m:e>
                  <m:sub>
                    <m:r>
                      <w:rPr>
                        <w:rFonts w:ascii="Cambria Math"/>
                      </w:rPr>
                      <m:t>all</m:t>
                    </m:r>
                  </m:sub>
                </m:sSub>
              </m:oMath>
            </m:oMathPara>
          </w:p>
        </w:tc>
        <w:tc>
          <w:tcPr>
            <w:tcW w:w="397" w:type="dxa"/>
            <w:gridSpan w:val="2"/>
          </w:tcPr>
          <w:p w14:paraId="66A2589C" w14:textId="77777777" w:rsidR="001B7275" w:rsidRDefault="001B7275" w:rsidP="003B3994">
            <w:pPr>
              <w:ind w:left="-291" w:right="-108"/>
            </w:pPr>
            <w:r>
              <w:t>=</w:t>
            </w:r>
          </w:p>
        </w:tc>
        <w:tc>
          <w:tcPr>
            <w:tcW w:w="5778" w:type="dxa"/>
          </w:tcPr>
          <w:p w14:paraId="7D2E52BA" w14:textId="45BD6E3C" w:rsidR="001B7275" w:rsidRPr="001B7275" w:rsidRDefault="001B7275" w:rsidP="001B7275">
            <w:r w:rsidRPr="001B7275">
              <w:t>Allowable NO</w:t>
            </w:r>
            <w:r w:rsidRPr="001B7275">
              <w:rPr>
                <w:vertAlign w:val="subscript"/>
              </w:rPr>
              <w:t>x</w:t>
            </w:r>
            <w:r w:rsidRPr="001B7275">
              <w:t xml:space="preserve"> emission rate (lbs/mmBtu or lbs/ton of product) as provided in Section 217.164, 217.184, 217.204, 217.224, 217.244, or 217.344, as applicable.  For an affected industrial boiler subject to Subpart </w:t>
            </w:r>
            <w:r w:rsidR="002140AE">
              <w:t>E</w:t>
            </w:r>
            <w:r w:rsidRPr="001B7275">
              <w:t xml:space="preserve"> of this Part, or process heater subject to Subpart </w:t>
            </w:r>
            <w:r w:rsidR="002140AE">
              <w:t>F</w:t>
            </w:r>
            <w:r w:rsidRPr="001B7275">
              <w:t xml:space="preserve"> of this Part, with a rated heat input capacity less than or equal to 100 mmBtu/hr demonstrating compliance through an emissions averaging plan, the allowable NO</w:t>
            </w:r>
            <w:r w:rsidRPr="001B7275">
              <w:rPr>
                <w:vertAlign w:val="subscript"/>
              </w:rPr>
              <w:t>x</w:t>
            </w:r>
            <w:r w:rsidRPr="001B7275">
              <w:t xml:space="preserve"> emission rate is to be determined from a performance test after </w:t>
            </w:r>
            <w:r w:rsidR="00AC3119">
              <w:t>the</w:t>
            </w:r>
            <w:r w:rsidRPr="001B7275">
              <w:t xml:space="preserve"> boiler or heater has undergone combustion tuning.  For all other units in an emissions averaging plan, an uncontrolled NO</w:t>
            </w:r>
            <w:r w:rsidRPr="001B7275">
              <w:rPr>
                <w:vertAlign w:val="subscript"/>
              </w:rPr>
              <w:t>x</w:t>
            </w:r>
            <w:r w:rsidRPr="001B7275">
              <w:t xml:space="preserve"> emission rate from USEPA</w:t>
            </w:r>
            <w:r>
              <w:t>'</w:t>
            </w:r>
            <w:r w:rsidRPr="001B7275">
              <w:t>s AP-42, as incorporated by reference in Section 217.104, or an uncontrolled NO</w:t>
            </w:r>
            <w:r w:rsidRPr="001B7275">
              <w:rPr>
                <w:vertAlign w:val="subscript"/>
              </w:rPr>
              <w:t>x</w:t>
            </w:r>
            <w:r w:rsidRPr="001B7275">
              <w:t xml:space="preserve"> emission rate as determined by an alternative method approved by the Agency</w:t>
            </w:r>
            <w:r w:rsidR="002140AE">
              <w:t>,</w:t>
            </w:r>
            <w:r w:rsidRPr="001B7275">
              <w:t xml:space="preserve"> will be used.</w:t>
            </w:r>
          </w:p>
        </w:tc>
      </w:tr>
      <w:tr w:rsidR="001B7275" w14:paraId="43B250C9" w14:textId="77777777" w:rsidTr="003B3994">
        <w:trPr>
          <w:trHeight w:val="990"/>
        </w:trPr>
        <w:tc>
          <w:tcPr>
            <w:tcW w:w="990" w:type="dxa"/>
          </w:tcPr>
          <w:p w14:paraId="2FB2476D" w14:textId="3B8EFDE9" w:rsidR="001B7275" w:rsidRDefault="001B7275" w:rsidP="00100715">
            <w:pPr>
              <w:ind w:left="-18" w:right="-235"/>
            </w:pPr>
            <w:r>
              <w:t>H</w:t>
            </w:r>
          </w:p>
        </w:tc>
        <w:tc>
          <w:tcPr>
            <w:tcW w:w="397" w:type="dxa"/>
            <w:gridSpan w:val="2"/>
          </w:tcPr>
          <w:p w14:paraId="504DB7F1" w14:textId="77777777" w:rsidR="001B7275" w:rsidRDefault="001B7275" w:rsidP="00E51DF5">
            <w:pPr>
              <w:ind w:left="-108" w:right="-108"/>
            </w:pPr>
            <w:r>
              <w:t>=</w:t>
            </w:r>
          </w:p>
        </w:tc>
        <w:tc>
          <w:tcPr>
            <w:tcW w:w="5778" w:type="dxa"/>
          </w:tcPr>
          <w:p w14:paraId="37C60B75" w14:textId="77777777" w:rsidR="001B7275" w:rsidRDefault="001B7275" w:rsidP="001B7275">
            <w:r w:rsidRPr="001B7275">
              <w:t>Heat input (mmBtu/ozone season or mmBtu/year) calculated from fuel flow meter and the heating value of the fuel used.</w:t>
            </w:r>
          </w:p>
        </w:tc>
      </w:tr>
      <w:tr w:rsidR="001B7275" w14:paraId="084642FF" w14:textId="77777777" w:rsidTr="003B3994">
        <w:tc>
          <w:tcPr>
            <w:tcW w:w="990" w:type="dxa"/>
          </w:tcPr>
          <w:p w14:paraId="2AD1FB39" w14:textId="77777777" w:rsidR="001B7275" w:rsidRDefault="001B7275" w:rsidP="00100715">
            <w:pPr>
              <w:ind w:right="-235"/>
            </w:pPr>
            <w:r>
              <w:t>P</w:t>
            </w:r>
          </w:p>
        </w:tc>
        <w:tc>
          <w:tcPr>
            <w:tcW w:w="397" w:type="dxa"/>
            <w:gridSpan w:val="2"/>
          </w:tcPr>
          <w:p w14:paraId="549F8921" w14:textId="77777777" w:rsidR="001B7275" w:rsidRDefault="001B7275" w:rsidP="00E51DF5">
            <w:pPr>
              <w:ind w:left="-108" w:right="-108"/>
            </w:pPr>
            <w:r>
              <w:t>=</w:t>
            </w:r>
          </w:p>
        </w:tc>
        <w:tc>
          <w:tcPr>
            <w:tcW w:w="5778" w:type="dxa"/>
          </w:tcPr>
          <w:p w14:paraId="075CA583" w14:textId="77777777" w:rsidR="001B7275" w:rsidRDefault="001B7275" w:rsidP="00E51DF5">
            <w:r w:rsidRPr="00EF4D95">
              <w:t>weight in tons of processed product.</w:t>
            </w:r>
          </w:p>
        </w:tc>
      </w:tr>
    </w:tbl>
    <w:p w14:paraId="08467159" w14:textId="77777777" w:rsidR="001222C5" w:rsidRDefault="001222C5" w:rsidP="0068306A">
      <w:pPr>
        <w:rPr>
          <w:szCs w:val="24"/>
        </w:rPr>
      </w:pPr>
    </w:p>
    <w:p w14:paraId="03484A8F" w14:textId="298DF6C1" w:rsidR="001222C5" w:rsidRPr="00173945" w:rsidRDefault="001222C5" w:rsidP="001222C5">
      <w:pPr>
        <w:ind w:left="1440" w:hanging="720"/>
        <w:rPr>
          <w:szCs w:val="24"/>
        </w:rPr>
      </w:pPr>
      <w:r>
        <w:rPr>
          <w:szCs w:val="24"/>
        </w:rPr>
        <w:t>h</w:t>
      </w:r>
      <w:r w:rsidRPr="00173945">
        <w:rPr>
          <w:szCs w:val="24"/>
        </w:rPr>
        <w:t>)</w:t>
      </w:r>
      <w:r>
        <w:rPr>
          <w:szCs w:val="24"/>
        </w:rPr>
        <w:tab/>
      </w:r>
      <w:r w:rsidRPr="00173945">
        <w:rPr>
          <w:szCs w:val="24"/>
        </w:rPr>
        <w:t>On and after</w:t>
      </w:r>
      <w:r w:rsidR="00CA42DD">
        <w:rPr>
          <w:szCs w:val="24"/>
        </w:rPr>
        <w:t xml:space="preserve"> July 1, 2025</w:t>
      </w:r>
      <w:r w:rsidRPr="00173945">
        <w:rPr>
          <w:szCs w:val="24"/>
        </w:rPr>
        <w:t>, the total mass of actual NO</w:t>
      </w:r>
      <w:r w:rsidRPr="00173945">
        <w:rPr>
          <w:szCs w:val="24"/>
          <w:vertAlign w:val="subscript"/>
        </w:rPr>
        <w:t>x</w:t>
      </w:r>
      <w:r w:rsidRPr="00173945">
        <w:rPr>
          <w:szCs w:val="24"/>
        </w:rPr>
        <w:t xml:space="preserve"> emissions from the units listed in the emissions averaging plan must be equal to or less than the total mass of allowable NO</w:t>
      </w:r>
      <w:r w:rsidRPr="00173945">
        <w:rPr>
          <w:szCs w:val="24"/>
          <w:vertAlign w:val="subscript"/>
        </w:rPr>
        <w:t>x</w:t>
      </w:r>
      <w:r w:rsidRPr="00173945">
        <w:rPr>
          <w:szCs w:val="24"/>
        </w:rPr>
        <w:t xml:space="preserve"> emissions for those units on a 30-day rolling average basis.  The following equation must be used to determine compliance:</w:t>
      </w:r>
    </w:p>
    <w:p w14:paraId="07611171" w14:textId="77777777" w:rsidR="001222C5" w:rsidRPr="00173945" w:rsidRDefault="001222C5" w:rsidP="001222C5">
      <w:pPr>
        <w:rPr>
          <w:szCs w:val="24"/>
        </w:rPr>
      </w:pPr>
    </w:p>
    <w:p w14:paraId="31E6C617" w14:textId="77777777" w:rsidR="001222C5" w:rsidRPr="00173945" w:rsidRDefault="008D6492" w:rsidP="001222C5">
      <w:pPr>
        <w:ind w:left="720" w:firstLine="3483"/>
        <w:rPr>
          <w:szCs w:val="24"/>
        </w:rPr>
      </w:pPr>
      <m:oMathPara>
        <m:oMath>
          <m:sSub>
            <m:sSubPr>
              <m:ctrlPr>
                <w:rPr>
                  <w:rFonts w:ascii="Cambria Math" w:hAnsi="Cambria Math"/>
                  <w:i/>
                  <w:szCs w:val="24"/>
                </w:rPr>
              </m:ctrlPr>
            </m:sSubPr>
            <m:e>
              <m:r>
                <w:rPr>
                  <w:rFonts w:ascii="Cambria Math"/>
                  <w:szCs w:val="24"/>
                </w:rPr>
                <m:t>N</m:t>
              </m:r>
            </m:e>
            <m:sub>
              <m:r>
                <w:rPr>
                  <w:rFonts w:ascii="Cambria Math"/>
                  <w:szCs w:val="24"/>
                </w:rPr>
                <m:t>act</m:t>
              </m:r>
            </m:sub>
          </m:sSub>
          <m:r>
            <w:rPr>
              <w:rFonts w:ascii="Cambria Math"/>
              <w:szCs w:val="24"/>
            </w:rPr>
            <m:t>≤</m:t>
          </m:r>
          <m:r>
            <w:rPr>
              <w:rFonts w:ascii="Cambria Math"/>
              <w:szCs w:val="24"/>
            </w:rPr>
            <m:t>0.9</m:t>
          </m:r>
          <m:sSub>
            <m:sSubPr>
              <m:ctrlPr>
                <w:rPr>
                  <w:rFonts w:ascii="Cambria Math" w:hAnsi="Cambria Math"/>
                  <w:i/>
                  <w:szCs w:val="24"/>
                </w:rPr>
              </m:ctrlPr>
            </m:sSubPr>
            <m:e>
              <m:r>
                <w:rPr>
                  <w:rFonts w:ascii="Cambria Math"/>
                  <w:szCs w:val="24"/>
                </w:rPr>
                <m:t>N</m:t>
              </m:r>
            </m:e>
            <m:sub>
              <m:r>
                <w:rPr>
                  <w:rFonts w:ascii="Cambria Math"/>
                  <w:szCs w:val="24"/>
                </w:rPr>
                <m:t>all</m:t>
              </m:r>
            </m:sub>
          </m:sSub>
        </m:oMath>
      </m:oMathPara>
    </w:p>
    <w:p w14:paraId="7D4A2700" w14:textId="77777777" w:rsidR="001222C5" w:rsidRPr="00173945" w:rsidRDefault="001222C5" w:rsidP="001222C5">
      <w:pPr>
        <w:rPr>
          <w:szCs w:val="24"/>
        </w:rPr>
      </w:pPr>
    </w:p>
    <w:p w14:paraId="20C726F9" w14:textId="77777777" w:rsidR="001222C5" w:rsidRPr="00173945" w:rsidRDefault="001222C5" w:rsidP="001222C5">
      <w:pPr>
        <w:ind w:left="1440" w:firstLine="720"/>
        <w:rPr>
          <w:szCs w:val="24"/>
        </w:rPr>
      </w:pPr>
      <w:r w:rsidRPr="00173945">
        <w:rPr>
          <w:szCs w:val="24"/>
        </w:rPr>
        <w:t>Where:</w:t>
      </w:r>
    </w:p>
    <w:p w14:paraId="132ED2FC" w14:textId="77777777" w:rsidR="001222C5" w:rsidRPr="00173945" w:rsidRDefault="001222C5" w:rsidP="0068306A">
      <w:pPr>
        <w:rPr>
          <w:szCs w:val="24"/>
        </w:rPr>
      </w:pPr>
    </w:p>
    <w:tbl>
      <w:tblPr>
        <w:tblW w:w="7067" w:type="dxa"/>
        <w:tblInd w:w="2511" w:type="dxa"/>
        <w:tblLook w:val="0000" w:firstRow="0" w:lastRow="0" w:firstColumn="0" w:lastColumn="0" w:noHBand="0" w:noVBand="0"/>
      </w:tblPr>
      <w:tblGrid>
        <w:gridCol w:w="987"/>
        <w:gridCol w:w="236"/>
        <w:gridCol w:w="5844"/>
      </w:tblGrid>
      <w:tr w:rsidR="001222C5" w:rsidRPr="00173945" w14:paraId="56453ABF" w14:textId="77777777" w:rsidTr="00EF33F5">
        <w:trPr>
          <w:trHeight w:val="1026"/>
        </w:trPr>
        <w:tc>
          <w:tcPr>
            <w:tcW w:w="987" w:type="dxa"/>
          </w:tcPr>
          <w:p w14:paraId="0660CDB0" w14:textId="4D8BA906" w:rsidR="001222C5" w:rsidRPr="00173945" w:rsidRDefault="008D6492" w:rsidP="003B3994">
            <w:pPr>
              <w:ind w:left="-87"/>
              <w:rPr>
                <w:szCs w:val="24"/>
              </w:rPr>
            </w:pPr>
            <m:oMathPara>
              <m:oMath>
                <m:sSub>
                  <m:sSubPr>
                    <m:ctrlPr>
                      <w:rPr>
                        <w:rFonts w:ascii="Cambria Math" w:hAnsi="Cambria Math"/>
                        <w:i/>
                        <w:szCs w:val="24"/>
                      </w:rPr>
                    </m:ctrlPr>
                  </m:sSubPr>
                  <m:e>
                    <m:r>
                      <w:rPr>
                        <w:rFonts w:ascii="Cambria Math"/>
                        <w:szCs w:val="24"/>
                      </w:rPr>
                      <m:t>N</m:t>
                    </m:r>
                  </m:e>
                  <m:sub>
                    <m:r>
                      <w:rPr>
                        <w:rFonts w:ascii="Cambria Math"/>
                        <w:szCs w:val="24"/>
                      </w:rPr>
                      <m:t>act</m:t>
                    </m:r>
                  </m:sub>
                </m:sSub>
              </m:oMath>
            </m:oMathPara>
          </w:p>
        </w:tc>
        <w:tc>
          <w:tcPr>
            <w:tcW w:w="236" w:type="dxa"/>
          </w:tcPr>
          <w:p w14:paraId="4ABF9EFF" w14:textId="77777777" w:rsidR="001222C5" w:rsidRPr="00173945" w:rsidRDefault="001222C5" w:rsidP="00E13A17">
            <w:pPr>
              <w:ind w:left="-108" w:right="-108"/>
              <w:rPr>
                <w:szCs w:val="24"/>
              </w:rPr>
            </w:pPr>
            <w:r w:rsidRPr="00173945">
              <w:rPr>
                <w:szCs w:val="24"/>
              </w:rPr>
              <w:t>=</w:t>
            </w:r>
          </w:p>
        </w:tc>
        <w:tc>
          <w:tcPr>
            <w:tcW w:w="5844" w:type="dxa"/>
          </w:tcPr>
          <w:p w14:paraId="56E97BF5" w14:textId="117ACCF3" w:rsidR="001222C5" w:rsidRPr="00173945" w:rsidRDefault="00F54D82" w:rsidP="00EE2A3A">
            <w:pPr>
              <w:rPr>
                <w:szCs w:val="24"/>
              </w:rPr>
            </w:pPr>
            <w:r w:rsidRPr="00173945">
              <w:rPr>
                <w:position w:val="-30"/>
                <w:szCs w:val="24"/>
              </w:rPr>
              <w:object w:dxaOrig="1520" w:dyaOrig="700" w14:anchorId="40DBA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43.2pt" o:ole="">
                  <v:imagedata r:id="rId6" o:title=""/>
                </v:shape>
                <o:OLEObject Type="Embed" ProgID="Equation.3" ShapeID="_x0000_i1025" DrawAspect="Content" ObjectID="_1833969116" r:id="rId7"/>
              </w:object>
            </w:r>
          </w:p>
        </w:tc>
      </w:tr>
      <w:tr w:rsidR="00512BDF" w:rsidRPr="00173945" w14:paraId="107A3459" w14:textId="77777777" w:rsidTr="00512BDF">
        <w:trPr>
          <w:trHeight w:val="936"/>
        </w:trPr>
        <w:tc>
          <w:tcPr>
            <w:tcW w:w="987" w:type="dxa"/>
          </w:tcPr>
          <w:p w14:paraId="0678DCF6" w14:textId="77777777" w:rsidR="00512BDF" w:rsidRDefault="00512BDF" w:rsidP="003B3994">
            <w:pPr>
              <w:ind w:left="-87"/>
              <w:rPr>
                <w:szCs w:val="24"/>
              </w:rPr>
            </w:pPr>
          </w:p>
        </w:tc>
        <w:tc>
          <w:tcPr>
            <w:tcW w:w="236" w:type="dxa"/>
          </w:tcPr>
          <w:p w14:paraId="65C18109" w14:textId="77777777" w:rsidR="00512BDF" w:rsidRPr="00173945" w:rsidRDefault="00512BDF" w:rsidP="00E13A17">
            <w:pPr>
              <w:ind w:left="-108" w:right="-108"/>
              <w:rPr>
                <w:szCs w:val="24"/>
              </w:rPr>
            </w:pPr>
          </w:p>
        </w:tc>
        <w:tc>
          <w:tcPr>
            <w:tcW w:w="5844" w:type="dxa"/>
          </w:tcPr>
          <w:p w14:paraId="4B8034E6" w14:textId="39E9C1FD" w:rsidR="00512BDF" w:rsidRPr="00173945" w:rsidRDefault="00512BDF" w:rsidP="00E13A17">
            <w:pPr>
              <w:rPr>
                <w:szCs w:val="24"/>
              </w:rPr>
            </w:pPr>
            <w:r w:rsidRPr="00173945">
              <w:rPr>
                <w:szCs w:val="24"/>
              </w:rPr>
              <w:t>Where N</w:t>
            </w:r>
            <w:r w:rsidRPr="00173945">
              <w:rPr>
                <w:szCs w:val="24"/>
                <w:vertAlign w:val="subscript"/>
              </w:rPr>
              <w:t>act</w:t>
            </w:r>
            <w:r w:rsidRPr="00173945">
              <w:rPr>
                <w:szCs w:val="24"/>
              </w:rPr>
              <w:t xml:space="preserve"> is the total sum of the actual NO</w:t>
            </w:r>
            <w:r w:rsidRPr="00173945">
              <w:rPr>
                <w:szCs w:val="24"/>
                <w:vertAlign w:val="subscript"/>
              </w:rPr>
              <w:t>x</w:t>
            </w:r>
            <w:r w:rsidRPr="00173945">
              <w:rPr>
                <w:szCs w:val="24"/>
              </w:rPr>
              <w:t xml:space="preserve"> mass emissions from units included in the averaging plan for each fuel used (tons per 30-day rolling average basis).</w:t>
            </w:r>
          </w:p>
        </w:tc>
      </w:tr>
      <w:tr w:rsidR="001222C5" w:rsidRPr="00173945" w14:paraId="1800EA6A" w14:textId="77777777" w:rsidTr="00862A2E">
        <w:trPr>
          <w:trHeight w:val="1017"/>
        </w:trPr>
        <w:tc>
          <w:tcPr>
            <w:tcW w:w="987" w:type="dxa"/>
          </w:tcPr>
          <w:p w14:paraId="38EB9BEF" w14:textId="19CCBE56" w:rsidR="001222C5" w:rsidRPr="00173945" w:rsidRDefault="008D6492" w:rsidP="003B3994">
            <w:pPr>
              <w:ind w:left="-87"/>
              <w:rPr>
                <w:szCs w:val="24"/>
              </w:rPr>
            </w:pPr>
            <m:oMathPara>
              <m:oMath>
                <m:sSub>
                  <m:sSubPr>
                    <m:ctrlPr>
                      <w:rPr>
                        <w:rFonts w:ascii="Cambria Math" w:hAnsi="Cambria Math"/>
                        <w:i/>
                        <w:szCs w:val="24"/>
                      </w:rPr>
                    </m:ctrlPr>
                  </m:sSubPr>
                  <m:e>
                    <m:r>
                      <w:rPr>
                        <w:rFonts w:ascii="Cambria Math"/>
                        <w:szCs w:val="24"/>
                      </w:rPr>
                      <m:t>N</m:t>
                    </m:r>
                  </m:e>
                  <m:sub>
                    <m:r>
                      <w:rPr>
                        <w:rFonts w:ascii="Cambria Math"/>
                        <w:szCs w:val="24"/>
                      </w:rPr>
                      <m:t>all</m:t>
                    </m:r>
                  </m:sub>
                </m:sSub>
              </m:oMath>
            </m:oMathPara>
          </w:p>
        </w:tc>
        <w:tc>
          <w:tcPr>
            <w:tcW w:w="236" w:type="dxa"/>
          </w:tcPr>
          <w:p w14:paraId="41CA04E7" w14:textId="77777777" w:rsidR="001222C5" w:rsidRPr="00173945" w:rsidRDefault="001222C5" w:rsidP="00E13A17">
            <w:pPr>
              <w:ind w:left="-108" w:right="-108"/>
              <w:rPr>
                <w:szCs w:val="24"/>
              </w:rPr>
            </w:pPr>
            <w:r w:rsidRPr="00173945">
              <w:rPr>
                <w:szCs w:val="24"/>
              </w:rPr>
              <w:t>=</w:t>
            </w:r>
          </w:p>
        </w:tc>
        <w:tc>
          <w:tcPr>
            <w:tcW w:w="5844" w:type="dxa"/>
          </w:tcPr>
          <w:p w14:paraId="4FD420F3" w14:textId="71F23115" w:rsidR="001222C5" w:rsidRPr="00173945" w:rsidRDefault="00F54D82" w:rsidP="00E13A17">
            <w:pPr>
              <w:rPr>
                <w:szCs w:val="24"/>
              </w:rPr>
            </w:pPr>
            <w:r w:rsidRPr="00173945">
              <w:rPr>
                <w:position w:val="-30"/>
                <w:szCs w:val="24"/>
              </w:rPr>
              <w:object w:dxaOrig="1500" w:dyaOrig="700" w14:anchorId="44106970">
                <v:shape id="_x0000_i1026" type="#_x0000_t75" style="width:86.4pt;height:43.2pt" o:ole="">
                  <v:imagedata r:id="rId8" o:title=""/>
                </v:shape>
                <o:OLEObject Type="Embed" ProgID="Equation.3" ShapeID="_x0000_i1026" DrawAspect="Content" ObjectID="_1833969117" r:id="rId9"/>
              </w:object>
            </w:r>
          </w:p>
        </w:tc>
      </w:tr>
      <w:tr w:rsidR="00512BDF" w:rsidRPr="00173945" w14:paraId="7E01D2CC" w14:textId="77777777" w:rsidTr="00512BDF">
        <w:trPr>
          <w:trHeight w:val="900"/>
        </w:trPr>
        <w:tc>
          <w:tcPr>
            <w:tcW w:w="987" w:type="dxa"/>
          </w:tcPr>
          <w:p w14:paraId="619B322D" w14:textId="77777777" w:rsidR="00512BDF" w:rsidRDefault="00512BDF" w:rsidP="003B3994">
            <w:pPr>
              <w:ind w:left="-87"/>
              <w:rPr>
                <w:szCs w:val="24"/>
              </w:rPr>
            </w:pPr>
          </w:p>
        </w:tc>
        <w:tc>
          <w:tcPr>
            <w:tcW w:w="236" w:type="dxa"/>
          </w:tcPr>
          <w:p w14:paraId="19E0C782" w14:textId="77777777" w:rsidR="00512BDF" w:rsidRPr="00173945" w:rsidRDefault="00512BDF" w:rsidP="00E13A17">
            <w:pPr>
              <w:ind w:left="-108" w:right="-108"/>
              <w:rPr>
                <w:szCs w:val="24"/>
              </w:rPr>
            </w:pPr>
          </w:p>
        </w:tc>
        <w:tc>
          <w:tcPr>
            <w:tcW w:w="5844" w:type="dxa"/>
          </w:tcPr>
          <w:p w14:paraId="5F5293ED" w14:textId="220A69AC" w:rsidR="00512BDF" w:rsidRPr="00173945" w:rsidRDefault="00512BDF" w:rsidP="00E13A17">
            <w:pPr>
              <w:rPr>
                <w:szCs w:val="24"/>
              </w:rPr>
            </w:pPr>
            <w:r w:rsidRPr="00173945">
              <w:rPr>
                <w:szCs w:val="24"/>
              </w:rPr>
              <w:t>Where N</w:t>
            </w:r>
            <w:r w:rsidRPr="00173945">
              <w:rPr>
                <w:szCs w:val="24"/>
                <w:vertAlign w:val="subscript"/>
              </w:rPr>
              <w:t>all</w:t>
            </w:r>
            <w:r w:rsidRPr="00173945">
              <w:rPr>
                <w:szCs w:val="24"/>
              </w:rPr>
              <w:t xml:space="preserve"> is the total sum of the allowable NO</w:t>
            </w:r>
            <w:r w:rsidRPr="00173945">
              <w:rPr>
                <w:szCs w:val="24"/>
                <w:vertAlign w:val="subscript"/>
              </w:rPr>
              <w:t>x</w:t>
            </w:r>
            <w:r w:rsidRPr="00173945">
              <w:rPr>
                <w:szCs w:val="24"/>
              </w:rPr>
              <w:t xml:space="preserve"> mass emissions from units included in the averaging plan for each fuel used (tons per 30-day rolling average basis).</w:t>
            </w:r>
          </w:p>
        </w:tc>
      </w:tr>
      <w:tr w:rsidR="001222C5" w:rsidRPr="00173945" w14:paraId="7A3CB814" w14:textId="77777777" w:rsidTr="00EE2A3A">
        <w:trPr>
          <w:trHeight w:val="630"/>
        </w:trPr>
        <w:tc>
          <w:tcPr>
            <w:tcW w:w="987" w:type="dxa"/>
          </w:tcPr>
          <w:p w14:paraId="0C247CDE" w14:textId="7083C4FF" w:rsidR="001222C5" w:rsidRPr="00173945" w:rsidRDefault="00451FA3" w:rsidP="003B3994">
            <w:pPr>
              <w:ind w:left="-87" w:right="-108"/>
              <w:rPr>
                <w:szCs w:val="24"/>
              </w:rPr>
            </w:pPr>
            <m:oMathPara>
              <m:oMath>
                <m:r>
                  <w:rPr>
                    <w:rFonts w:ascii="Cambria Math"/>
                    <w:szCs w:val="24"/>
                  </w:rPr>
                  <m:t>E</m:t>
                </m:r>
                <m:sSub>
                  <m:sSubPr>
                    <m:ctrlPr>
                      <w:rPr>
                        <w:rFonts w:ascii="Cambria Math" w:hAnsi="Cambria Math"/>
                        <w:i/>
                        <w:szCs w:val="24"/>
                      </w:rPr>
                    </m:ctrlPr>
                  </m:sSubPr>
                  <m:e>
                    <m:r>
                      <w:rPr>
                        <w:rFonts w:ascii="Cambria Math"/>
                        <w:szCs w:val="24"/>
                      </w:rPr>
                      <m:t>M</m:t>
                    </m:r>
                  </m:e>
                  <m:sub>
                    <m:r>
                      <w:rPr>
                        <w:rFonts w:ascii="Cambria Math"/>
                        <w:szCs w:val="24"/>
                      </w:rPr>
                      <m:t>act(i)</m:t>
                    </m:r>
                  </m:sub>
                </m:sSub>
              </m:oMath>
            </m:oMathPara>
          </w:p>
        </w:tc>
        <w:tc>
          <w:tcPr>
            <w:tcW w:w="236" w:type="dxa"/>
          </w:tcPr>
          <w:p w14:paraId="6ED6F669" w14:textId="77777777" w:rsidR="001222C5" w:rsidRPr="00173945" w:rsidRDefault="001222C5" w:rsidP="00E13A17">
            <w:pPr>
              <w:ind w:left="-108" w:right="-108"/>
              <w:rPr>
                <w:szCs w:val="24"/>
              </w:rPr>
            </w:pPr>
            <w:r w:rsidRPr="00173945">
              <w:rPr>
                <w:szCs w:val="24"/>
              </w:rPr>
              <w:t>=</w:t>
            </w:r>
          </w:p>
        </w:tc>
        <w:tc>
          <w:tcPr>
            <w:tcW w:w="5844" w:type="dxa"/>
          </w:tcPr>
          <w:p w14:paraId="47B808F7" w14:textId="77777777" w:rsidR="001222C5" w:rsidRPr="00173945" w:rsidRDefault="001222C5" w:rsidP="00E13A17">
            <w:pPr>
              <w:rPr>
                <w:szCs w:val="24"/>
              </w:rPr>
            </w:pPr>
            <w:r w:rsidRPr="00173945">
              <w:rPr>
                <w:szCs w:val="24"/>
              </w:rPr>
              <w:t>Total mass of actual NO</w:t>
            </w:r>
            <w:r w:rsidRPr="00173945">
              <w:rPr>
                <w:szCs w:val="24"/>
                <w:vertAlign w:val="subscript"/>
              </w:rPr>
              <w:t>x</w:t>
            </w:r>
            <w:r w:rsidRPr="00173945">
              <w:rPr>
                <w:szCs w:val="24"/>
              </w:rPr>
              <w:t xml:space="preserve"> emissions in tons for a unit as determined in subsection (</w:t>
            </w:r>
            <w:r>
              <w:rPr>
                <w:szCs w:val="24"/>
              </w:rPr>
              <w:t>h</w:t>
            </w:r>
            <w:r w:rsidRPr="00173945">
              <w:rPr>
                <w:szCs w:val="24"/>
              </w:rPr>
              <w:t>)(1) of this Section.</w:t>
            </w:r>
          </w:p>
        </w:tc>
      </w:tr>
      <w:tr w:rsidR="001222C5" w:rsidRPr="00173945" w14:paraId="3E24BE41" w14:textId="77777777" w:rsidTr="00EE2A3A">
        <w:trPr>
          <w:trHeight w:val="360"/>
        </w:trPr>
        <w:tc>
          <w:tcPr>
            <w:tcW w:w="987" w:type="dxa"/>
          </w:tcPr>
          <w:p w14:paraId="066EDAFE" w14:textId="77777777" w:rsidR="001222C5" w:rsidRPr="00173945" w:rsidRDefault="001222C5" w:rsidP="001546DD">
            <w:pPr>
              <w:ind w:right="-108"/>
              <w:rPr>
                <w:szCs w:val="24"/>
              </w:rPr>
            </w:pPr>
            <w:r w:rsidRPr="00173945">
              <w:rPr>
                <w:szCs w:val="24"/>
              </w:rPr>
              <w:lastRenderedPageBreak/>
              <w:t>i</w:t>
            </w:r>
          </w:p>
        </w:tc>
        <w:tc>
          <w:tcPr>
            <w:tcW w:w="236" w:type="dxa"/>
          </w:tcPr>
          <w:p w14:paraId="65D40256" w14:textId="77777777" w:rsidR="001222C5" w:rsidRPr="00173945" w:rsidRDefault="001222C5" w:rsidP="00E13A17">
            <w:pPr>
              <w:ind w:left="-108" w:right="-108"/>
              <w:rPr>
                <w:szCs w:val="24"/>
              </w:rPr>
            </w:pPr>
            <w:r w:rsidRPr="00173945">
              <w:rPr>
                <w:szCs w:val="24"/>
              </w:rPr>
              <w:t>=</w:t>
            </w:r>
          </w:p>
        </w:tc>
        <w:tc>
          <w:tcPr>
            <w:tcW w:w="5844" w:type="dxa"/>
          </w:tcPr>
          <w:p w14:paraId="116A82B3" w14:textId="77777777" w:rsidR="001222C5" w:rsidRPr="00173945" w:rsidRDefault="001222C5" w:rsidP="00E13A17">
            <w:pPr>
              <w:rPr>
                <w:szCs w:val="24"/>
              </w:rPr>
            </w:pPr>
            <w:r w:rsidRPr="00173945">
              <w:rPr>
                <w:szCs w:val="24"/>
              </w:rPr>
              <w:t>Subscript denoting an individual unit.</w:t>
            </w:r>
          </w:p>
        </w:tc>
      </w:tr>
      <w:tr w:rsidR="001222C5" w:rsidRPr="00173945" w14:paraId="47902218" w14:textId="77777777" w:rsidTr="00EE2A3A">
        <w:trPr>
          <w:trHeight w:val="378"/>
        </w:trPr>
        <w:tc>
          <w:tcPr>
            <w:tcW w:w="987" w:type="dxa"/>
          </w:tcPr>
          <w:p w14:paraId="22A3AA6B" w14:textId="77777777" w:rsidR="001222C5" w:rsidRPr="00173945" w:rsidRDefault="001222C5" w:rsidP="001546DD">
            <w:pPr>
              <w:ind w:right="-108"/>
              <w:rPr>
                <w:szCs w:val="24"/>
              </w:rPr>
            </w:pPr>
            <w:r w:rsidRPr="00173945">
              <w:rPr>
                <w:szCs w:val="24"/>
              </w:rPr>
              <w:t>j</w:t>
            </w:r>
          </w:p>
        </w:tc>
        <w:tc>
          <w:tcPr>
            <w:tcW w:w="236" w:type="dxa"/>
          </w:tcPr>
          <w:p w14:paraId="7BCD8670" w14:textId="77777777" w:rsidR="001222C5" w:rsidRPr="00173945" w:rsidRDefault="001222C5" w:rsidP="00E13A17">
            <w:pPr>
              <w:ind w:left="-108" w:right="-108"/>
              <w:rPr>
                <w:szCs w:val="24"/>
              </w:rPr>
            </w:pPr>
            <w:r w:rsidRPr="00173945">
              <w:rPr>
                <w:szCs w:val="24"/>
              </w:rPr>
              <w:t>=</w:t>
            </w:r>
          </w:p>
        </w:tc>
        <w:tc>
          <w:tcPr>
            <w:tcW w:w="5844" w:type="dxa"/>
          </w:tcPr>
          <w:p w14:paraId="16AB600A" w14:textId="77777777" w:rsidR="001222C5" w:rsidRPr="00173945" w:rsidRDefault="001222C5" w:rsidP="00E13A17">
            <w:pPr>
              <w:rPr>
                <w:szCs w:val="24"/>
              </w:rPr>
            </w:pPr>
            <w:r w:rsidRPr="00173945">
              <w:rPr>
                <w:szCs w:val="24"/>
              </w:rPr>
              <w:t>Subscript denoting the fuel type used.</w:t>
            </w:r>
          </w:p>
        </w:tc>
      </w:tr>
      <w:tr w:rsidR="001222C5" w:rsidRPr="00173945" w14:paraId="43CF4E3A" w14:textId="77777777" w:rsidTr="00EE2A3A">
        <w:trPr>
          <w:trHeight w:val="378"/>
        </w:trPr>
        <w:tc>
          <w:tcPr>
            <w:tcW w:w="987" w:type="dxa"/>
          </w:tcPr>
          <w:p w14:paraId="7F78D0FA" w14:textId="77777777" w:rsidR="001222C5" w:rsidRPr="00173945" w:rsidRDefault="001222C5" w:rsidP="001546DD">
            <w:pPr>
              <w:ind w:right="-108"/>
              <w:rPr>
                <w:szCs w:val="24"/>
              </w:rPr>
            </w:pPr>
            <w:r w:rsidRPr="00173945">
              <w:rPr>
                <w:szCs w:val="24"/>
              </w:rPr>
              <w:t>k</w:t>
            </w:r>
          </w:p>
        </w:tc>
        <w:tc>
          <w:tcPr>
            <w:tcW w:w="236" w:type="dxa"/>
          </w:tcPr>
          <w:p w14:paraId="58F5F3FD" w14:textId="77777777" w:rsidR="001222C5" w:rsidRPr="00173945" w:rsidRDefault="001222C5" w:rsidP="00E13A17">
            <w:pPr>
              <w:ind w:left="-108" w:right="-108"/>
              <w:rPr>
                <w:szCs w:val="24"/>
              </w:rPr>
            </w:pPr>
            <w:r w:rsidRPr="00173945">
              <w:rPr>
                <w:szCs w:val="24"/>
              </w:rPr>
              <w:t>=</w:t>
            </w:r>
          </w:p>
        </w:tc>
        <w:tc>
          <w:tcPr>
            <w:tcW w:w="5844" w:type="dxa"/>
          </w:tcPr>
          <w:p w14:paraId="6E9E23C6" w14:textId="77777777" w:rsidR="001222C5" w:rsidRPr="00173945" w:rsidRDefault="001222C5" w:rsidP="00E13A17">
            <w:pPr>
              <w:rPr>
                <w:szCs w:val="24"/>
              </w:rPr>
            </w:pPr>
            <w:r w:rsidRPr="00173945">
              <w:rPr>
                <w:szCs w:val="24"/>
              </w:rPr>
              <w:t>Number of different fuel types.</w:t>
            </w:r>
          </w:p>
        </w:tc>
      </w:tr>
      <w:tr w:rsidR="001222C5" w:rsidRPr="00173945" w14:paraId="597C4A82" w14:textId="77777777" w:rsidTr="00EE2A3A">
        <w:trPr>
          <w:trHeight w:val="324"/>
        </w:trPr>
        <w:tc>
          <w:tcPr>
            <w:tcW w:w="987" w:type="dxa"/>
          </w:tcPr>
          <w:p w14:paraId="02F8E51C" w14:textId="77777777" w:rsidR="001222C5" w:rsidRPr="00173945" w:rsidRDefault="001222C5" w:rsidP="001546DD">
            <w:pPr>
              <w:ind w:right="-108"/>
              <w:rPr>
                <w:szCs w:val="24"/>
              </w:rPr>
            </w:pPr>
            <w:r w:rsidRPr="00173945">
              <w:rPr>
                <w:szCs w:val="24"/>
              </w:rPr>
              <w:t>n</w:t>
            </w:r>
          </w:p>
        </w:tc>
        <w:tc>
          <w:tcPr>
            <w:tcW w:w="236" w:type="dxa"/>
          </w:tcPr>
          <w:p w14:paraId="217A1514" w14:textId="77777777" w:rsidR="001222C5" w:rsidRPr="00173945" w:rsidRDefault="001222C5" w:rsidP="00E13A17">
            <w:pPr>
              <w:ind w:left="-108" w:right="-108"/>
              <w:rPr>
                <w:szCs w:val="24"/>
              </w:rPr>
            </w:pPr>
            <w:r w:rsidRPr="00173945">
              <w:rPr>
                <w:szCs w:val="24"/>
              </w:rPr>
              <w:t>=</w:t>
            </w:r>
          </w:p>
        </w:tc>
        <w:tc>
          <w:tcPr>
            <w:tcW w:w="5844" w:type="dxa"/>
          </w:tcPr>
          <w:p w14:paraId="638752B1" w14:textId="77777777" w:rsidR="001222C5" w:rsidRPr="00173945" w:rsidRDefault="001222C5" w:rsidP="00E13A17">
            <w:pPr>
              <w:rPr>
                <w:szCs w:val="24"/>
              </w:rPr>
            </w:pPr>
            <w:r w:rsidRPr="00173945">
              <w:rPr>
                <w:szCs w:val="24"/>
              </w:rPr>
              <w:t>Number of different units in the averaging plan.</w:t>
            </w:r>
          </w:p>
        </w:tc>
      </w:tr>
      <w:tr w:rsidR="001222C5" w:rsidRPr="00173945" w14:paraId="0992A180" w14:textId="77777777" w:rsidTr="00EE2A3A">
        <w:tc>
          <w:tcPr>
            <w:tcW w:w="987" w:type="dxa"/>
          </w:tcPr>
          <w:p w14:paraId="104340E2" w14:textId="1E05CFBB" w:rsidR="001222C5" w:rsidRPr="00173945" w:rsidRDefault="00451FA3" w:rsidP="003B3994">
            <w:pPr>
              <w:ind w:left="-87" w:right="-108"/>
              <w:rPr>
                <w:szCs w:val="24"/>
              </w:rPr>
            </w:pPr>
            <m:oMathPara>
              <m:oMath>
                <m:r>
                  <w:rPr>
                    <w:rFonts w:ascii="Cambria Math"/>
                    <w:szCs w:val="24"/>
                  </w:rPr>
                  <m:t>E</m:t>
                </m:r>
                <m:sSub>
                  <m:sSubPr>
                    <m:ctrlPr>
                      <w:rPr>
                        <w:rFonts w:ascii="Cambria Math" w:hAnsi="Cambria Math"/>
                        <w:i/>
                        <w:szCs w:val="24"/>
                      </w:rPr>
                    </m:ctrlPr>
                  </m:sSubPr>
                  <m:e>
                    <m:r>
                      <w:rPr>
                        <w:rFonts w:ascii="Cambria Math"/>
                        <w:szCs w:val="24"/>
                      </w:rPr>
                      <m:t>M</m:t>
                    </m:r>
                  </m:e>
                  <m:sub>
                    <m:r>
                      <w:rPr>
                        <w:rFonts w:ascii="Cambria Math"/>
                        <w:szCs w:val="24"/>
                      </w:rPr>
                      <m:t>all(i)</m:t>
                    </m:r>
                  </m:sub>
                </m:sSub>
              </m:oMath>
            </m:oMathPara>
          </w:p>
        </w:tc>
        <w:tc>
          <w:tcPr>
            <w:tcW w:w="236" w:type="dxa"/>
          </w:tcPr>
          <w:p w14:paraId="7F1CE7E7" w14:textId="77777777" w:rsidR="001222C5" w:rsidRPr="00173945" w:rsidRDefault="001222C5" w:rsidP="00E13A17">
            <w:pPr>
              <w:ind w:left="-108" w:right="-108"/>
              <w:rPr>
                <w:szCs w:val="24"/>
              </w:rPr>
            </w:pPr>
            <w:r w:rsidRPr="00173945">
              <w:rPr>
                <w:szCs w:val="24"/>
              </w:rPr>
              <w:t>=</w:t>
            </w:r>
          </w:p>
        </w:tc>
        <w:tc>
          <w:tcPr>
            <w:tcW w:w="5844" w:type="dxa"/>
          </w:tcPr>
          <w:p w14:paraId="12F985E7" w14:textId="77777777" w:rsidR="001222C5" w:rsidRPr="00173945" w:rsidRDefault="001222C5" w:rsidP="00E13A17">
            <w:pPr>
              <w:rPr>
                <w:szCs w:val="24"/>
              </w:rPr>
            </w:pPr>
            <w:r w:rsidRPr="00173945">
              <w:rPr>
                <w:szCs w:val="24"/>
              </w:rPr>
              <w:t>Total mass of allowable NO</w:t>
            </w:r>
            <w:r w:rsidRPr="00173945">
              <w:rPr>
                <w:szCs w:val="24"/>
                <w:vertAlign w:val="subscript"/>
              </w:rPr>
              <w:t>x</w:t>
            </w:r>
            <w:r w:rsidRPr="00173945">
              <w:rPr>
                <w:szCs w:val="24"/>
              </w:rPr>
              <w:t xml:space="preserve"> emissions in tons for a unit as determined in subsection (</w:t>
            </w:r>
            <w:r>
              <w:rPr>
                <w:szCs w:val="24"/>
              </w:rPr>
              <w:t>h</w:t>
            </w:r>
            <w:r w:rsidRPr="00173945">
              <w:rPr>
                <w:szCs w:val="24"/>
              </w:rPr>
              <w:t>)(2) of this Section.</w:t>
            </w:r>
          </w:p>
        </w:tc>
      </w:tr>
    </w:tbl>
    <w:p w14:paraId="594A4FEA" w14:textId="77777777" w:rsidR="001222C5" w:rsidRPr="00173945" w:rsidRDefault="001222C5" w:rsidP="0068306A">
      <w:pPr>
        <w:rPr>
          <w:szCs w:val="24"/>
        </w:rPr>
      </w:pPr>
    </w:p>
    <w:p w14:paraId="12E8A87D" w14:textId="77777777" w:rsidR="001222C5" w:rsidRPr="00173945" w:rsidRDefault="001222C5" w:rsidP="001222C5">
      <w:pPr>
        <w:ind w:left="1440"/>
        <w:rPr>
          <w:szCs w:val="24"/>
        </w:rPr>
      </w:pPr>
      <w:r w:rsidRPr="00173945">
        <w:rPr>
          <w:szCs w:val="24"/>
        </w:rPr>
        <w:t xml:space="preserve">For each unit in the averaging plan, and each fuel used by </w:t>
      </w:r>
      <w:r>
        <w:rPr>
          <w:szCs w:val="24"/>
        </w:rPr>
        <w:t>the</w:t>
      </w:r>
      <w:r w:rsidRPr="00173945">
        <w:rPr>
          <w:szCs w:val="24"/>
        </w:rPr>
        <w:t xml:space="preserve"> unit, determine actual and allowable NO</w:t>
      </w:r>
      <w:r w:rsidRPr="00173945">
        <w:rPr>
          <w:szCs w:val="24"/>
          <w:vertAlign w:val="subscript"/>
        </w:rPr>
        <w:t>x</w:t>
      </w:r>
      <w:r w:rsidRPr="00173945">
        <w:rPr>
          <w:szCs w:val="24"/>
        </w:rPr>
        <w:t xml:space="preserve"> emissions using the following equations:</w:t>
      </w:r>
    </w:p>
    <w:p w14:paraId="02948D25" w14:textId="77777777" w:rsidR="001222C5" w:rsidRPr="00173945" w:rsidRDefault="001222C5" w:rsidP="001222C5">
      <w:pPr>
        <w:rPr>
          <w:szCs w:val="24"/>
        </w:rPr>
      </w:pPr>
    </w:p>
    <w:p w14:paraId="17F76DBB" w14:textId="744BC35C" w:rsidR="001222C5" w:rsidRPr="00173945" w:rsidRDefault="001222C5" w:rsidP="001222C5">
      <w:pPr>
        <w:ind w:left="720" w:firstLine="720"/>
        <w:rPr>
          <w:szCs w:val="24"/>
        </w:rPr>
      </w:pPr>
      <w:r w:rsidRPr="00173945">
        <w:rPr>
          <w:szCs w:val="24"/>
        </w:rPr>
        <w:t>1)</w:t>
      </w:r>
      <w:r>
        <w:rPr>
          <w:szCs w:val="24"/>
        </w:rPr>
        <w:tab/>
      </w:r>
      <w:r w:rsidRPr="00173945">
        <w:rPr>
          <w:szCs w:val="24"/>
        </w:rPr>
        <w:t>Actual emissions must be determined as follows:</w:t>
      </w:r>
    </w:p>
    <w:p w14:paraId="0A3955A3" w14:textId="77777777" w:rsidR="001222C5" w:rsidRPr="00173945" w:rsidRDefault="001222C5" w:rsidP="001222C5">
      <w:pPr>
        <w:rPr>
          <w:szCs w:val="24"/>
        </w:rPr>
      </w:pPr>
    </w:p>
    <w:p w14:paraId="54970942" w14:textId="77777777" w:rsidR="001222C5" w:rsidRPr="00173945" w:rsidRDefault="001222C5" w:rsidP="001222C5">
      <w:pPr>
        <w:ind w:left="1440" w:firstLine="720"/>
        <w:rPr>
          <w:szCs w:val="24"/>
        </w:rPr>
      </w:pPr>
      <w:r w:rsidRPr="00173945">
        <w:rPr>
          <w:szCs w:val="24"/>
        </w:rPr>
        <w:t>When emissions limitations are prescribed in lb/mmBtu,</w:t>
      </w:r>
    </w:p>
    <w:p w14:paraId="414B07E9" w14:textId="7D1775C9" w:rsidR="001222C5" w:rsidRDefault="001222C5" w:rsidP="0068306A">
      <w:pPr>
        <w:rPr>
          <w:szCs w:val="24"/>
        </w:rPr>
      </w:pPr>
    </w:p>
    <w:p w14:paraId="6D255381" w14:textId="30A1844C" w:rsidR="001546DD" w:rsidRDefault="008D6492" w:rsidP="001546DD">
      <w:pPr>
        <w:ind w:left="1440" w:right="1440" w:firstLine="720"/>
      </w:pPr>
      <m:oMathPara>
        <m:oMath>
          <m:sSub>
            <m:sSubPr>
              <m:ctrlPr>
                <w:rPr>
                  <w:rFonts w:ascii="Cambria Math" w:hAnsi="Cambria Math"/>
                  <w:i/>
                </w:rPr>
              </m:ctrlPr>
            </m:sSubPr>
            <m:e>
              <m:r>
                <w:rPr>
                  <w:rFonts w:ascii="Cambria Math" w:hAnsi="Cambria Math"/>
                </w:rPr>
                <m:t>EM</m:t>
              </m:r>
            </m:e>
            <m:sub>
              <m:r>
                <w:rPr>
                  <w:rFonts w:ascii="Cambria Math" w:hAnsi="Cambria Math"/>
                </w:rPr>
                <m:t>act(i)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act(i)</m:t>
              </m:r>
            </m:sub>
          </m:sSub>
          <m:r>
            <w:rPr>
              <w:rFonts w:ascii="Cambria Math" w:hAnsi="Cambria Math"/>
            </w:rPr>
            <m:t>x</m:t>
          </m:r>
          <m:f>
            <m:fPr>
              <m:type m:val="skw"/>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i</m:t>
                  </m:r>
                </m:sub>
              </m:sSub>
            </m:num>
            <m:den>
              <m:r>
                <w:rPr>
                  <w:rFonts w:ascii="Cambria Math" w:hAnsi="Cambria Math"/>
                </w:rPr>
                <m:t>2000</m:t>
              </m:r>
            </m:den>
          </m:f>
        </m:oMath>
      </m:oMathPara>
    </w:p>
    <w:p w14:paraId="0A601BE5" w14:textId="77777777" w:rsidR="001222C5" w:rsidRPr="00906343" w:rsidRDefault="001222C5" w:rsidP="00906343"/>
    <w:p w14:paraId="241AE341" w14:textId="77777777" w:rsidR="001222C5" w:rsidRPr="00906343" w:rsidRDefault="001222C5" w:rsidP="00906343">
      <w:pPr>
        <w:ind w:left="2160"/>
      </w:pPr>
      <w:r w:rsidRPr="00906343">
        <w:t>When emissions limitations are prescribed in lb/ton of processed product,</w:t>
      </w:r>
    </w:p>
    <w:p w14:paraId="368CFDE5" w14:textId="3DDBF457" w:rsidR="001222C5" w:rsidRPr="00906343" w:rsidRDefault="001222C5" w:rsidP="00906343"/>
    <w:p w14:paraId="0AFB9AF8" w14:textId="5DEC8A49" w:rsidR="001546DD" w:rsidRDefault="008D6492" w:rsidP="001546DD">
      <w:pPr>
        <w:ind w:left="1440" w:right="1440" w:firstLine="720"/>
      </w:pPr>
      <m:oMathPara>
        <m:oMath>
          <m:sSub>
            <m:sSubPr>
              <m:ctrlPr>
                <w:rPr>
                  <w:rFonts w:ascii="Cambria Math" w:hAnsi="Cambria Math"/>
                  <w:i/>
                </w:rPr>
              </m:ctrlPr>
            </m:sSubPr>
            <m:e>
              <m:r>
                <w:rPr>
                  <w:rFonts w:ascii="Cambria Math" w:hAnsi="Cambria Math"/>
                </w:rPr>
                <m:t>EM</m:t>
              </m:r>
            </m:e>
            <m:sub>
              <m:r>
                <w:rPr>
                  <w:rFonts w:ascii="Cambria Math" w:hAnsi="Cambria Math"/>
                </w:rPr>
                <m:t>act(i)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act(i)</m:t>
              </m:r>
            </m:sub>
          </m:sSub>
          <m:r>
            <w:rPr>
              <w:rFonts w:ascii="Cambria Math" w:hAnsi="Cambria Math"/>
            </w:rPr>
            <m:t>x</m:t>
          </m:r>
          <m:f>
            <m:fPr>
              <m:type m:val="skw"/>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r>
                <w:rPr>
                  <w:rFonts w:ascii="Cambria Math" w:hAnsi="Cambria Math"/>
                </w:rPr>
                <m:t>2000</m:t>
              </m:r>
            </m:den>
          </m:f>
        </m:oMath>
      </m:oMathPara>
    </w:p>
    <w:p w14:paraId="3A398B31" w14:textId="4C9DAB9F" w:rsidR="001546DD" w:rsidRDefault="001546DD" w:rsidP="001222C5">
      <w:pPr>
        <w:rPr>
          <w:szCs w:val="24"/>
        </w:rPr>
      </w:pPr>
    </w:p>
    <w:p w14:paraId="2BE92A37" w14:textId="77777777" w:rsidR="001C3F2F" w:rsidRPr="00D55DD6" w:rsidRDefault="001C3F2F" w:rsidP="00D55DD6">
      <w:pPr>
        <w:ind w:left="2160"/>
      </w:pPr>
      <w:r w:rsidRPr="00D55DD6">
        <w:t>Alternatively, for units equipped with CEMS that monitor stack flow in accordance with 40 CFR 60 or 75, or alternate methodology that has been approved by the Agency or USEPA and included in a federally enforceable permit, actual emission rate for a given unit can be determined as follows:</w:t>
      </w:r>
    </w:p>
    <w:p w14:paraId="14D01380" w14:textId="58FD91C1" w:rsidR="001C3F2F" w:rsidRPr="00502C4B" w:rsidRDefault="001C3F2F" w:rsidP="00502C4B"/>
    <w:p w14:paraId="12CD8131" w14:textId="370B124B" w:rsidR="001C3F2F" w:rsidRPr="00502C4B" w:rsidRDefault="008D6492" w:rsidP="00502C4B">
      <w:pPr>
        <w:ind w:left="3240"/>
      </w:pPr>
      <m:oMathPara>
        <m:oMathParaPr>
          <m:jc m:val="left"/>
        </m:oMathParaPr>
        <m:oMath>
          <m:sSub>
            <m:sSubPr>
              <m:ctrlPr>
                <w:rPr>
                  <w:rFonts w:ascii="Cambria Math" w:hAnsi="Cambria Math"/>
                  <w:i/>
                </w:rPr>
              </m:ctrlPr>
            </m:sSubPr>
            <m:e>
              <m:r>
                <w:rPr>
                  <w:rFonts w:ascii="Cambria Math" w:hAnsi="Cambria Math"/>
                </w:rPr>
                <m:t>E</m:t>
              </m:r>
            </m:e>
            <m:sub>
              <m:r>
                <w:rPr>
                  <w:rFonts w:ascii="Cambria Math" w:hAnsi="Cambria Math"/>
                </w:rPr>
                <m:t>act</m:t>
              </m:r>
            </m:sub>
          </m:sSub>
          <m:r>
            <w:rPr>
              <w:rFonts w:ascii="Cambria Math" w:hAnsi="Cambria Math"/>
            </w:rPr>
            <m:t>=Kx</m:t>
          </m:r>
          <m:sSub>
            <m:sSubPr>
              <m:ctrlPr>
                <w:rPr>
                  <w:rFonts w:ascii="Cambria Math" w:hAnsi="Cambria Math"/>
                  <w:i/>
                </w:rPr>
              </m:ctrlPr>
            </m:sSubPr>
            <m:e>
              <m:r>
                <w:rPr>
                  <w:rFonts w:ascii="Cambria Math" w:hAnsi="Cambria Math"/>
                </w:rPr>
                <m:t>C</m:t>
              </m:r>
            </m:e>
            <m:sub>
              <m:r>
                <w:rPr>
                  <w:rFonts w:ascii="Cambria Math" w:hAnsi="Cambria Math"/>
                </w:rPr>
                <m:t>d</m:t>
              </m:r>
            </m:sub>
          </m:sSub>
          <m:r>
            <w:rPr>
              <w:rFonts w:ascii="Cambria Math" w:hAnsi="Cambria Math"/>
            </w:rPr>
            <m:t>x</m:t>
          </m:r>
          <m:sSub>
            <m:sSubPr>
              <m:ctrlPr>
                <w:rPr>
                  <w:rFonts w:ascii="Cambria Math" w:hAnsi="Cambria Math"/>
                  <w:i/>
                </w:rPr>
              </m:ctrlPr>
            </m:sSubPr>
            <m:e>
              <m:r>
                <w:rPr>
                  <w:rFonts w:ascii="Cambria Math" w:hAnsi="Cambria Math"/>
                </w:rPr>
                <m:t>Q</m:t>
              </m:r>
            </m:e>
            <m:sub>
              <m:r>
                <w:rPr>
                  <w:rFonts w:ascii="Cambria Math" w:hAnsi="Cambria Math"/>
                </w:rPr>
                <m:t>d</m:t>
              </m:r>
            </m:sub>
          </m:sSub>
        </m:oMath>
      </m:oMathPara>
    </w:p>
    <w:p w14:paraId="3EC99ED6" w14:textId="137F586E" w:rsidR="001C3F2F" w:rsidRPr="00502C4B" w:rsidRDefault="001C3F2F" w:rsidP="00502C4B"/>
    <w:p w14:paraId="177024BE" w14:textId="50B78BDA" w:rsidR="001C3F2F" w:rsidRDefault="00ED55BD" w:rsidP="00ED55BD">
      <w:pPr>
        <w:ind w:left="2160" w:right="1350"/>
        <w:rPr>
          <w:szCs w:val="24"/>
        </w:rPr>
      </w:pPr>
      <w:r>
        <w:rPr>
          <w:szCs w:val="24"/>
        </w:rPr>
        <w:t xml:space="preserve">Where: </w:t>
      </w:r>
    </w:p>
    <w:p w14:paraId="2C7D102D" w14:textId="39AE96C6" w:rsidR="00ED55BD" w:rsidRDefault="00ED55BD" w:rsidP="0068306A">
      <w:pPr>
        <w:ind w:right="1350"/>
        <w:rPr>
          <w:szCs w:val="24"/>
        </w:rPr>
      </w:pPr>
    </w:p>
    <w:tbl>
      <w:tblPr>
        <w:tblW w:w="7067" w:type="dxa"/>
        <w:tblInd w:w="2511" w:type="dxa"/>
        <w:tblLook w:val="0000" w:firstRow="0" w:lastRow="0" w:firstColumn="0" w:lastColumn="0" w:noHBand="0" w:noVBand="0"/>
      </w:tblPr>
      <w:tblGrid>
        <w:gridCol w:w="987"/>
        <w:gridCol w:w="236"/>
        <w:gridCol w:w="5844"/>
      </w:tblGrid>
      <w:tr w:rsidR="00ED55BD" w:rsidRPr="00173945" w14:paraId="45B3F13F" w14:textId="77777777" w:rsidTr="00ED55BD">
        <w:trPr>
          <w:trHeight w:val="891"/>
        </w:trPr>
        <w:tc>
          <w:tcPr>
            <w:tcW w:w="987" w:type="dxa"/>
          </w:tcPr>
          <w:p w14:paraId="362DE68F" w14:textId="10135132" w:rsidR="00ED55BD" w:rsidRPr="00173945" w:rsidRDefault="008D6492" w:rsidP="00554139">
            <w:pPr>
              <w:ind w:left="-262"/>
              <w:rPr>
                <w:szCs w:val="24"/>
              </w:rPr>
            </w:pPr>
            <m:oMathPara>
              <m:oMath>
                <m:sSub>
                  <m:sSubPr>
                    <m:ctrlPr>
                      <w:rPr>
                        <w:rFonts w:ascii="Cambria Math" w:hAnsi="Cambria Math"/>
                        <w:i/>
                        <w:szCs w:val="24"/>
                      </w:rPr>
                    </m:ctrlPr>
                  </m:sSubPr>
                  <m:e>
                    <m:r>
                      <w:rPr>
                        <w:rFonts w:ascii="Cambria Math" w:hAnsi="Cambria Math"/>
                        <w:szCs w:val="24"/>
                      </w:rPr>
                      <m:t>E</m:t>
                    </m:r>
                  </m:e>
                  <m:sub>
                    <m:r>
                      <w:rPr>
                        <w:rFonts w:ascii="Cambria Math"/>
                        <w:szCs w:val="24"/>
                      </w:rPr>
                      <m:t>act</m:t>
                    </m:r>
                  </m:sub>
                </m:sSub>
              </m:oMath>
            </m:oMathPara>
          </w:p>
        </w:tc>
        <w:tc>
          <w:tcPr>
            <w:tcW w:w="236" w:type="dxa"/>
          </w:tcPr>
          <w:p w14:paraId="19F2D318" w14:textId="77777777" w:rsidR="00ED55BD" w:rsidRPr="00173945" w:rsidRDefault="00ED55BD" w:rsidP="00554139">
            <w:pPr>
              <w:ind w:left="-108" w:right="-108"/>
              <w:rPr>
                <w:szCs w:val="24"/>
              </w:rPr>
            </w:pPr>
            <w:r w:rsidRPr="00173945">
              <w:rPr>
                <w:szCs w:val="24"/>
              </w:rPr>
              <w:t>=</w:t>
            </w:r>
          </w:p>
        </w:tc>
        <w:tc>
          <w:tcPr>
            <w:tcW w:w="5844" w:type="dxa"/>
          </w:tcPr>
          <w:p w14:paraId="6F23A669" w14:textId="66DC09A4" w:rsidR="00ED55BD" w:rsidRPr="00173945" w:rsidRDefault="00ED55BD" w:rsidP="00554139">
            <w:pPr>
              <w:rPr>
                <w:szCs w:val="24"/>
              </w:rPr>
            </w:pPr>
            <w:r>
              <w:rPr>
                <w:szCs w:val="24"/>
              </w:rPr>
              <w:t>NO</w:t>
            </w:r>
            <w:r w:rsidR="00013F9E" w:rsidRPr="00013F9E">
              <w:rPr>
                <w:szCs w:val="24"/>
                <w:vertAlign w:val="subscript"/>
              </w:rPr>
              <w:t>x</w:t>
            </w:r>
            <w:r>
              <w:rPr>
                <w:szCs w:val="24"/>
              </w:rPr>
              <w:t xml:space="preserve"> emission rate (lb/hr) as determined by a performance test, a CEMS, a PEMS, or an alternative method approved by the Agency.</w:t>
            </w:r>
          </w:p>
        </w:tc>
      </w:tr>
      <w:tr w:rsidR="00ED55BD" w:rsidRPr="00173945" w14:paraId="004F57BF" w14:textId="77777777" w:rsidTr="00ED55BD">
        <w:trPr>
          <w:trHeight w:val="360"/>
        </w:trPr>
        <w:tc>
          <w:tcPr>
            <w:tcW w:w="987" w:type="dxa"/>
          </w:tcPr>
          <w:p w14:paraId="233AD555" w14:textId="1FD08684" w:rsidR="00ED55BD" w:rsidRPr="00173945" w:rsidRDefault="00ED55BD" w:rsidP="00ED55BD">
            <w:pPr>
              <w:ind w:left="-351" w:right="211"/>
              <w:rPr>
                <w:szCs w:val="24"/>
              </w:rPr>
            </w:pPr>
            <m:oMathPara>
              <m:oMath>
                <m:r>
                  <w:rPr>
                    <w:rFonts w:ascii="Cambria Math" w:hAnsi="Cambria Math"/>
                    <w:szCs w:val="24"/>
                  </w:rPr>
                  <m:t>K</m:t>
                </m:r>
              </m:oMath>
            </m:oMathPara>
          </w:p>
        </w:tc>
        <w:tc>
          <w:tcPr>
            <w:tcW w:w="236" w:type="dxa"/>
          </w:tcPr>
          <w:p w14:paraId="2316D062" w14:textId="77777777" w:rsidR="00ED55BD" w:rsidRPr="00173945" w:rsidRDefault="00ED55BD" w:rsidP="00554139">
            <w:pPr>
              <w:ind w:left="-108" w:right="-108"/>
              <w:rPr>
                <w:szCs w:val="24"/>
              </w:rPr>
            </w:pPr>
            <w:r w:rsidRPr="00173945">
              <w:rPr>
                <w:szCs w:val="24"/>
              </w:rPr>
              <w:t>=</w:t>
            </w:r>
          </w:p>
        </w:tc>
        <w:tc>
          <w:tcPr>
            <w:tcW w:w="5844" w:type="dxa"/>
          </w:tcPr>
          <w:p w14:paraId="1BA0BBBF" w14:textId="0A166A49" w:rsidR="00ED55BD" w:rsidRPr="00173945" w:rsidRDefault="00ED55BD" w:rsidP="00554139">
            <w:pPr>
              <w:rPr>
                <w:szCs w:val="24"/>
              </w:rPr>
            </w:pPr>
            <w:r>
              <w:rPr>
                <w:szCs w:val="24"/>
              </w:rPr>
              <w:t>1.194 x 10</w:t>
            </w:r>
            <w:r w:rsidRPr="00ED55BD">
              <w:rPr>
                <w:szCs w:val="24"/>
                <w:vertAlign w:val="superscript"/>
              </w:rPr>
              <w:t>-7</w:t>
            </w:r>
            <w:r>
              <w:rPr>
                <w:szCs w:val="24"/>
              </w:rPr>
              <w:t xml:space="preserve"> (1.194 x 10</w:t>
            </w:r>
            <w:r w:rsidRPr="00ED55BD">
              <w:rPr>
                <w:szCs w:val="24"/>
                <w:vertAlign w:val="superscript"/>
              </w:rPr>
              <w:t>-7</w:t>
            </w:r>
            <w:r>
              <w:rPr>
                <w:szCs w:val="24"/>
                <w:vertAlign w:val="superscript"/>
              </w:rPr>
              <w:t xml:space="preserve"> </w:t>
            </w:r>
            <w:r w:rsidRPr="00ED55BD">
              <w:rPr>
                <w:szCs w:val="24"/>
              </w:rPr>
              <w:t>converts to (lb</w:t>
            </w:r>
            <w:r>
              <w:rPr>
                <w:szCs w:val="24"/>
              </w:rPr>
              <w:t>/</w:t>
            </w:r>
            <w:r w:rsidRPr="00ED55BD">
              <w:rPr>
                <w:szCs w:val="24"/>
              </w:rPr>
              <w:t>dscf)/ppm)</w:t>
            </w:r>
          </w:p>
        </w:tc>
      </w:tr>
      <w:tr w:rsidR="00ED55BD" w:rsidRPr="00173945" w14:paraId="38496DE9" w14:textId="77777777" w:rsidTr="00554139">
        <w:trPr>
          <w:trHeight w:val="630"/>
        </w:trPr>
        <w:tc>
          <w:tcPr>
            <w:tcW w:w="987" w:type="dxa"/>
          </w:tcPr>
          <w:p w14:paraId="7EE5E731" w14:textId="7E61FB25" w:rsidR="00ED55BD" w:rsidRPr="00173945" w:rsidRDefault="008D6492" w:rsidP="00ED55BD">
            <w:pPr>
              <w:ind w:left="-351" w:right="130"/>
              <w:rPr>
                <w:szCs w:val="24"/>
              </w:rPr>
            </w:pPr>
            <m:oMathPara>
              <m:oMath>
                <m:sSub>
                  <m:sSubPr>
                    <m:ctrlPr>
                      <w:rPr>
                        <w:rFonts w:ascii="Cambria Math" w:hAnsi="Cambria Math"/>
                        <w:i/>
                        <w:szCs w:val="24"/>
                      </w:rPr>
                    </m:ctrlPr>
                  </m:sSubPr>
                  <m:e>
                    <m:r>
                      <w:rPr>
                        <w:rFonts w:ascii="Cambria Math" w:hAnsi="Cambria Math"/>
                        <w:szCs w:val="24"/>
                      </w:rPr>
                      <m:t>C</m:t>
                    </m:r>
                  </m:e>
                  <m:sub>
                    <m:r>
                      <w:rPr>
                        <w:rFonts w:ascii="Cambria Math" w:hAnsi="Cambria Math"/>
                        <w:szCs w:val="24"/>
                      </w:rPr>
                      <m:t>d</m:t>
                    </m:r>
                  </m:sub>
                </m:sSub>
              </m:oMath>
            </m:oMathPara>
          </w:p>
        </w:tc>
        <w:tc>
          <w:tcPr>
            <w:tcW w:w="236" w:type="dxa"/>
          </w:tcPr>
          <w:p w14:paraId="54E33478" w14:textId="77777777" w:rsidR="00ED55BD" w:rsidRPr="00173945" w:rsidRDefault="00ED55BD" w:rsidP="00554139">
            <w:pPr>
              <w:ind w:left="-108" w:right="-108"/>
              <w:rPr>
                <w:szCs w:val="24"/>
              </w:rPr>
            </w:pPr>
            <w:r w:rsidRPr="00173945">
              <w:rPr>
                <w:szCs w:val="24"/>
              </w:rPr>
              <w:t>=</w:t>
            </w:r>
          </w:p>
        </w:tc>
        <w:tc>
          <w:tcPr>
            <w:tcW w:w="5844" w:type="dxa"/>
          </w:tcPr>
          <w:p w14:paraId="2B60B696" w14:textId="4FFF1ABB" w:rsidR="00ED55BD" w:rsidRPr="00173945" w:rsidRDefault="00ED55BD" w:rsidP="00554139">
            <w:pPr>
              <w:rPr>
                <w:szCs w:val="24"/>
              </w:rPr>
            </w:pPr>
            <w:r>
              <w:rPr>
                <w:szCs w:val="24"/>
              </w:rPr>
              <w:t>Hourly average NO</w:t>
            </w:r>
            <w:r w:rsidR="00013F9E" w:rsidRPr="00013F9E">
              <w:rPr>
                <w:szCs w:val="24"/>
                <w:vertAlign w:val="subscript"/>
              </w:rPr>
              <w:t>x</w:t>
            </w:r>
            <w:r>
              <w:rPr>
                <w:szCs w:val="24"/>
              </w:rPr>
              <w:t xml:space="preserve"> concentration during unit operation in ppm on a dry basis for a given unit.</w:t>
            </w:r>
          </w:p>
        </w:tc>
      </w:tr>
      <w:tr w:rsidR="00ED55BD" w:rsidRPr="00173945" w14:paraId="075EF611" w14:textId="77777777" w:rsidTr="00554139">
        <w:trPr>
          <w:trHeight w:val="360"/>
        </w:trPr>
        <w:tc>
          <w:tcPr>
            <w:tcW w:w="987" w:type="dxa"/>
          </w:tcPr>
          <w:p w14:paraId="740A602E" w14:textId="313349D2" w:rsidR="00ED55BD" w:rsidRPr="00173945" w:rsidRDefault="008D6492" w:rsidP="003B3994">
            <w:pPr>
              <w:ind w:left="-357" w:right="130"/>
              <w:rPr>
                <w:szCs w:val="24"/>
              </w:rPr>
            </w:pPr>
            <m:oMathPara>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d</m:t>
                    </m:r>
                  </m:sub>
                </m:sSub>
              </m:oMath>
            </m:oMathPara>
          </w:p>
        </w:tc>
        <w:tc>
          <w:tcPr>
            <w:tcW w:w="236" w:type="dxa"/>
          </w:tcPr>
          <w:p w14:paraId="4D18AB10" w14:textId="77777777" w:rsidR="00ED55BD" w:rsidRPr="00173945" w:rsidRDefault="00ED55BD" w:rsidP="00554139">
            <w:pPr>
              <w:ind w:left="-108" w:right="-108"/>
              <w:rPr>
                <w:szCs w:val="24"/>
              </w:rPr>
            </w:pPr>
            <w:r w:rsidRPr="00173945">
              <w:rPr>
                <w:szCs w:val="24"/>
              </w:rPr>
              <w:t>=</w:t>
            </w:r>
          </w:p>
        </w:tc>
        <w:tc>
          <w:tcPr>
            <w:tcW w:w="5844" w:type="dxa"/>
          </w:tcPr>
          <w:p w14:paraId="46676372" w14:textId="28FC8D55" w:rsidR="00ED55BD" w:rsidRPr="00173945" w:rsidRDefault="00ED55BD" w:rsidP="00554139">
            <w:pPr>
              <w:rPr>
                <w:szCs w:val="24"/>
              </w:rPr>
            </w:pPr>
            <w:r>
              <w:rPr>
                <w:szCs w:val="24"/>
              </w:rPr>
              <w:t>Hourly average volumetric flow rate during unit operation in scf/hr on a dry basis for a given unit.</w:t>
            </w:r>
          </w:p>
        </w:tc>
      </w:tr>
    </w:tbl>
    <w:p w14:paraId="275089AE" w14:textId="77777777" w:rsidR="001C3F2F" w:rsidRPr="00173945" w:rsidRDefault="001C3F2F" w:rsidP="0068306A">
      <w:pPr>
        <w:rPr>
          <w:szCs w:val="24"/>
        </w:rPr>
      </w:pPr>
    </w:p>
    <w:p w14:paraId="4CB1CF70" w14:textId="270C8430" w:rsidR="001222C5" w:rsidRPr="00173945" w:rsidRDefault="001222C5" w:rsidP="001222C5">
      <w:pPr>
        <w:ind w:left="720" w:firstLine="720"/>
        <w:rPr>
          <w:szCs w:val="24"/>
        </w:rPr>
      </w:pPr>
      <w:r w:rsidRPr="00173945">
        <w:rPr>
          <w:szCs w:val="24"/>
        </w:rPr>
        <w:t>2)</w:t>
      </w:r>
      <w:r>
        <w:rPr>
          <w:szCs w:val="24"/>
        </w:rPr>
        <w:tab/>
      </w:r>
      <w:r w:rsidRPr="00173945">
        <w:rPr>
          <w:szCs w:val="24"/>
        </w:rPr>
        <w:t>Allowable emissions must be determined as follows:</w:t>
      </w:r>
    </w:p>
    <w:p w14:paraId="5C6FE0EA" w14:textId="77777777" w:rsidR="001222C5" w:rsidRPr="00173945" w:rsidRDefault="001222C5" w:rsidP="001222C5">
      <w:pPr>
        <w:rPr>
          <w:szCs w:val="24"/>
        </w:rPr>
      </w:pPr>
    </w:p>
    <w:p w14:paraId="4B145A0F" w14:textId="77777777" w:rsidR="001222C5" w:rsidRPr="00173945" w:rsidRDefault="001222C5" w:rsidP="001222C5">
      <w:pPr>
        <w:ind w:left="1440" w:firstLine="720"/>
        <w:rPr>
          <w:szCs w:val="24"/>
        </w:rPr>
      </w:pPr>
      <w:r w:rsidRPr="00173945">
        <w:rPr>
          <w:szCs w:val="24"/>
        </w:rPr>
        <w:t>When emissions limitations are prescribed in lb/mmBtu,</w:t>
      </w:r>
    </w:p>
    <w:p w14:paraId="66CFBE40" w14:textId="35F6BFE2" w:rsidR="001222C5" w:rsidRDefault="001222C5" w:rsidP="001222C5">
      <w:pPr>
        <w:rPr>
          <w:szCs w:val="24"/>
        </w:rPr>
      </w:pPr>
    </w:p>
    <w:p w14:paraId="2779C4BE" w14:textId="364760D9" w:rsidR="001546DD" w:rsidRDefault="008D6492" w:rsidP="001546DD">
      <w:pPr>
        <w:ind w:left="1440" w:right="1440" w:firstLine="720"/>
      </w:pPr>
      <m:oMathPara>
        <m:oMath>
          <m:sSub>
            <m:sSubPr>
              <m:ctrlPr>
                <w:rPr>
                  <w:rFonts w:ascii="Cambria Math" w:hAnsi="Cambria Math"/>
                  <w:i/>
                </w:rPr>
              </m:ctrlPr>
            </m:sSubPr>
            <m:e>
              <m:r>
                <w:rPr>
                  <w:rFonts w:ascii="Cambria Math" w:hAnsi="Cambria Math"/>
                </w:rPr>
                <m:t>EM</m:t>
              </m:r>
            </m:e>
            <m:sub>
              <m:r>
                <w:rPr>
                  <w:rFonts w:ascii="Cambria Math" w:hAnsi="Cambria Math"/>
                </w:rPr>
                <m:t>all(i)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all(i)</m:t>
              </m:r>
            </m:sub>
          </m:sSub>
          <m:r>
            <w:rPr>
              <w:rFonts w:ascii="Cambria Math" w:hAnsi="Cambria Math"/>
            </w:rPr>
            <m:t>x</m:t>
          </m:r>
          <m:f>
            <m:fPr>
              <m:type m:val="skw"/>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i</m:t>
                  </m:r>
                </m:sub>
              </m:sSub>
            </m:num>
            <m:den>
              <m:r>
                <w:rPr>
                  <w:rFonts w:ascii="Cambria Math" w:hAnsi="Cambria Math"/>
                </w:rPr>
                <m:t>2000</m:t>
              </m:r>
            </m:den>
          </m:f>
        </m:oMath>
      </m:oMathPara>
    </w:p>
    <w:p w14:paraId="65D006DD" w14:textId="77777777" w:rsidR="001222C5" w:rsidRPr="00477A1C" w:rsidRDefault="001222C5" w:rsidP="00477A1C"/>
    <w:p w14:paraId="78A44777" w14:textId="77777777" w:rsidR="001222C5" w:rsidRPr="00477A1C" w:rsidRDefault="001222C5" w:rsidP="00477A1C">
      <w:pPr>
        <w:ind w:left="2160"/>
      </w:pPr>
      <w:r w:rsidRPr="00477A1C">
        <w:t>When emissions limitations are prescribed in lb/ton of processed product,</w:t>
      </w:r>
    </w:p>
    <w:p w14:paraId="515691BF" w14:textId="376F99FC" w:rsidR="001222C5" w:rsidRPr="00477A1C" w:rsidRDefault="001222C5" w:rsidP="00477A1C"/>
    <w:p w14:paraId="5B0A34C4" w14:textId="365470BA" w:rsidR="00707DF7" w:rsidRDefault="008D6492" w:rsidP="00707DF7">
      <w:pPr>
        <w:ind w:left="1440" w:right="1440" w:firstLine="720"/>
      </w:pPr>
      <m:oMathPara>
        <m:oMath>
          <m:sSub>
            <m:sSubPr>
              <m:ctrlPr>
                <w:rPr>
                  <w:rFonts w:ascii="Cambria Math" w:hAnsi="Cambria Math"/>
                  <w:i/>
                </w:rPr>
              </m:ctrlPr>
            </m:sSubPr>
            <m:e>
              <m:r>
                <w:rPr>
                  <w:rFonts w:ascii="Cambria Math" w:hAnsi="Cambria Math"/>
                </w:rPr>
                <m:t>EM</m:t>
              </m:r>
            </m:e>
            <m:sub>
              <m:r>
                <w:rPr>
                  <w:rFonts w:ascii="Cambria Math" w:hAnsi="Cambria Math"/>
                </w:rPr>
                <m:t>all(i)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all(i)</m:t>
              </m:r>
            </m:sub>
          </m:sSub>
          <m:r>
            <w:rPr>
              <w:rFonts w:ascii="Cambria Math" w:hAnsi="Cambria Math"/>
            </w:rPr>
            <m:t>x</m:t>
          </m:r>
          <m:f>
            <m:fPr>
              <m:type m:val="skw"/>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r>
                <w:rPr>
                  <w:rFonts w:ascii="Cambria Math" w:hAnsi="Cambria Math"/>
                </w:rPr>
                <m:t>2000</m:t>
              </m:r>
            </m:den>
          </m:f>
        </m:oMath>
      </m:oMathPara>
    </w:p>
    <w:p w14:paraId="6E089A09" w14:textId="77777777" w:rsidR="00707DF7" w:rsidRPr="00173945" w:rsidRDefault="00707DF7" w:rsidP="001222C5">
      <w:pPr>
        <w:rPr>
          <w:szCs w:val="24"/>
        </w:rPr>
      </w:pPr>
    </w:p>
    <w:p w14:paraId="790AF5DE" w14:textId="77777777" w:rsidR="001222C5" w:rsidRPr="00173945" w:rsidRDefault="001222C5" w:rsidP="001222C5">
      <w:pPr>
        <w:ind w:left="1440" w:firstLine="720"/>
        <w:rPr>
          <w:szCs w:val="24"/>
        </w:rPr>
      </w:pPr>
      <w:r w:rsidRPr="00173945">
        <w:rPr>
          <w:szCs w:val="24"/>
        </w:rPr>
        <w:t>Where:</w:t>
      </w:r>
    </w:p>
    <w:p w14:paraId="34874D32" w14:textId="77777777" w:rsidR="001222C5" w:rsidRPr="00173945" w:rsidRDefault="001222C5" w:rsidP="001222C5">
      <w:pPr>
        <w:rPr>
          <w:szCs w:val="24"/>
        </w:rPr>
      </w:pPr>
    </w:p>
    <w:tbl>
      <w:tblPr>
        <w:tblW w:w="0" w:type="auto"/>
        <w:tblInd w:w="2538" w:type="dxa"/>
        <w:tblLook w:val="0000" w:firstRow="0" w:lastRow="0" w:firstColumn="0" w:lastColumn="0" w:noHBand="0" w:noVBand="0"/>
      </w:tblPr>
      <w:tblGrid>
        <w:gridCol w:w="1197"/>
        <w:gridCol w:w="243"/>
        <w:gridCol w:w="5598"/>
      </w:tblGrid>
      <w:tr w:rsidR="001222C5" w:rsidRPr="00173945" w14:paraId="14FDCE0B" w14:textId="77777777" w:rsidTr="003E599B">
        <w:trPr>
          <w:trHeight w:val="513"/>
        </w:trPr>
        <w:tc>
          <w:tcPr>
            <w:tcW w:w="1197" w:type="dxa"/>
          </w:tcPr>
          <w:p w14:paraId="45A94145" w14:textId="4B73D531" w:rsidR="001222C5" w:rsidRPr="00173945" w:rsidRDefault="00707DF7" w:rsidP="003E599B">
            <w:pPr>
              <w:ind w:left="-208" w:right="-108"/>
              <w:rPr>
                <w:szCs w:val="24"/>
              </w:rPr>
            </w:pPr>
            <m:oMathPara>
              <m:oMath>
                <m:r>
                  <w:rPr>
                    <w:rFonts w:ascii="Cambria Math"/>
                    <w:szCs w:val="24"/>
                  </w:rPr>
                  <m:t>E</m:t>
                </m:r>
                <m:sSub>
                  <m:sSubPr>
                    <m:ctrlPr>
                      <w:rPr>
                        <w:rFonts w:ascii="Cambria Math" w:hAnsi="Cambria Math"/>
                        <w:i/>
                        <w:szCs w:val="24"/>
                      </w:rPr>
                    </m:ctrlPr>
                  </m:sSubPr>
                  <m:e>
                    <m:r>
                      <w:rPr>
                        <w:rFonts w:ascii="Cambria Math"/>
                        <w:szCs w:val="24"/>
                      </w:rPr>
                      <m:t>M</m:t>
                    </m:r>
                  </m:e>
                  <m:sub>
                    <m:r>
                      <w:rPr>
                        <w:rFonts w:ascii="Cambria Math"/>
                        <w:szCs w:val="24"/>
                      </w:rPr>
                      <m:t>act(i)</m:t>
                    </m:r>
                  </m:sub>
                </m:sSub>
              </m:oMath>
            </m:oMathPara>
          </w:p>
        </w:tc>
        <w:tc>
          <w:tcPr>
            <w:tcW w:w="243" w:type="dxa"/>
          </w:tcPr>
          <w:p w14:paraId="0939C032" w14:textId="77777777" w:rsidR="001222C5" w:rsidRPr="00173945" w:rsidRDefault="001222C5" w:rsidP="003E599B">
            <w:pPr>
              <w:ind w:left="-108" w:right="-98"/>
              <w:rPr>
                <w:szCs w:val="24"/>
              </w:rPr>
            </w:pPr>
            <w:r w:rsidRPr="00173945">
              <w:rPr>
                <w:szCs w:val="24"/>
              </w:rPr>
              <w:t>=</w:t>
            </w:r>
          </w:p>
        </w:tc>
        <w:tc>
          <w:tcPr>
            <w:tcW w:w="5598" w:type="dxa"/>
          </w:tcPr>
          <w:p w14:paraId="078F06A0" w14:textId="77777777" w:rsidR="001222C5" w:rsidRPr="00173945" w:rsidRDefault="001222C5" w:rsidP="00E13A17">
            <w:pPr>
              <w:rPr>
                <w:szCs w:val="24"/>
              </w:rPr>
            </w:pPr>
            <w:r w:rsidRPr="00173945">
              <w:rPr>
                <w:szCs w:val="24"/>
              </w:rPr>
              <w:t>Total mass of actual NO</w:t>
            </w:r>
            <w:r w:rsidRPr="00173945">
              <w:rPr>
                <w:szCs w:val="24"/>
                <w:vertAlign w:val="subscript"/>
              </w:rPr>
              <w:t>x</w:t>
            </w:r>
            <w:r w:rsidRPr="00173945">
              <w:rPr>
                <w:szCs w:val="24"/>
              </w:rPr>
              <w:t xml:space="preserve"> emissions in tons for a unit. </w:t>
            </w:r>
          </w:p>
        </w:tc>
      </w:tr>
      <w:tr w:rsidR="001222C5" w:rsidRPr="00173945" w14:paraId="677747A2" w14:textId="77777777" w:rsidTr="003E599B">
        <w:trPr>
          <w:trHeight w:val="522"/>
        </w:trPr>
        <w:tc>
          <w:tcPr>
            <w:tcW w:w="1197" w:type="dxa"/>
          </w:tcPr>
          <w:p w14:paraId="67D62C06" w14:textId="327C1B99" w:rsidR="001222C5" w:rsidRPr="00173945" w:rsidRDefault="00707DF7" w:rsidP="003E599B">
            <w:pPr>
              <w:ind w:left="-244" w:right="-108"/>
              <w:rPr>
                <w:szCs w:val="24"/>
              </w:rPr>
            </w:pPr>
            <m:oMathPara>
              <m:oMath>
                <m:r>
                  <w:rPr>
                    <w:rFonts w:ascii="Cambria Math"/>
                    <w:szCs w:val="24"/>
                  </w:rPr>
                  <m:t>E</m:t>
                </m:r>
                <m:sSub>
                  <m:sSubPr>
                    <m:ctrlPr>
                      <w:rPr>
                        <w:rFonts w:ascii="Cambria Math" w:hAnsi="Cambria Math"/>
                        <w:i/>
                        <w:szCs w:val="24"/>
                      </w:rPr>
                    </m:ctrlPr>
                  </m:sSubPr>
                  <m:e>
                    <m:r>
                      <w:rPr>
                        <w:rFonts w:ascii="Cambria Math"/>
                        <w:szCs w:val="24"/>
                      </w:rPr>
                      <m:t>M</m:t>
                    </m:r>
                  </m:e>
                  <m:sub>
                    <m:r>
                      <w:rPr>
                        <w:rFonts w:ascii="Cambria Math"/>
                        <w:szCs w:val="24"/>
                      </w:rPr>
                      <m:t>all(i)</m:t>
                    </m:r>
                  </m:sub>
                </m:sSub>
              </m:oMath>
            </m:oMathPara>
          </w:p>
        </w:tc>
        <w:tc>
          <w:tcPr>
            <w:tcW w:w="243" w:type="dxa"/>
          </w:tcPr>
          <w:p w14:paraId="1E63CC95" w14:textId="77777777" w:rsidR="001222C5" w:rsidRPr="00173945" w:rsidRDefault="001222C5" w:rsidP="00E13A17">
            <w:pPr>
              <w:ind w:left="-108" w:right="-108"/>
              <w:rPr>
                <w:szCs w:val="24"/>
              </w:rPr>
            </w:pPr>
            <w:r w:rsidRPr="00173945">
              <w:rPr>
                <w:szCs w:val="24"/>
              </w:rPr>
              <w:t>=</w:t>
            </w:r>
          </w:p>
        </w:tc>
        <w:tc>
          <w:tcPr>
            <w:tcW w:w="5598" w:type="dxa"/>
          </w:tcPr>
          <w:p w14:paraId="75AC20E7" w14:textId="77777777" w:rsidR="001222C5" w:rsidRPr="00173945" w:rsidRDefault="001222C5" w:rsidP="00E13A17">
            <w:pPr>
              <w:rPr>
                <w:szCs w:val="24"/>
              </w:rPr>
            </w:pPr>
            <w:r w:rsidRPr="00173945">
              <w:rPr>
                <w:szCs w:val="24"/>
              </w:rPr>
              <w:t>Total mass of allowable NO</w:t>
            </w:r>
            <w:r w:rsidRPr="00173945">
              <w:rPr>
                <w:szCs w:val="24"/>
                <w:vertAlign w:val="subscript"/>
              </w:rPr>
              <w:t>x</w:t>
            </w:r>
            <w:r w:rsidRPr="00173945">
              <w:rPr>
                <w:szCs w:val="24"/>
              </w:rPr>
              <w:t xml:space="preserve"> emissions in tons for a unit.</w:t>
            </w:r>
          </w:p>
        </w:tc>
      </w:tr>
      <w:tr w:rsidR="001222C5" w:rsidRPr="00173945" w14:paraId="1E6FF747" w14:textId="77777777" w:rsidTr="003E599B">
        <w:trPr>
          <w:trHeight w:val="1044"/>
        </w:trPr>
        <w:tc>
          <w:tcPr>
            <w:tcW w:w="1197" w:type="dxa"/>
          </w:tcPr>
          <w:p w14:paraId="66040CA8" w14:textId="0A431995" w:rsidR="001222C5" w:rsidRPr="00173945" w:rsidRDefault="008D6492" w:rsidP="008317DD">
            <w:pPr>
              <w:ind w:left="-247" w:right="278"/>
              <w:rPr>
                <w:szCs w:val="24"/>
              </w:rPr>
            </w:pPr>
            <m:oMathPara>
              <m:oMath>
                <m:sSub>
                  <m:sSubPr>
                    <m:ctrlPr>
                      <w:rPr>
                        <w:rFonts w:ascii="Cambria Math" w:hAnsi="Cambria Math"/>
                        <w:i/>
                        <w:szCs w:val="24"/>
                      </w:rPr>
                    </m:ctrlPr>
                  </m:sSubPr>
                  <m:e>
                    <m:r>
                      <w:rPr>
                        <w:rFonts w:ascii="Cambria Math"/>
                        <w:szCs w:val="24"/>
                      </w:rPr>
                      <m:t>E</m:t>
                    </m:r>
                  </m:e>
                  <m:sub>
                    <m:r>
                      <w:rPr>
                        <w:rFonts w:ascii="Cambria Math"/>
                        <w:szCs w:val="24"/>
                      </w:rPr>
                      <m:t>act</m:t>
                    </m:r>
                  </m:sub>
                </m:sSub>
              </m:oMath>
            </m:oMathPara>
          </w:p>
        </w:tc>
        <w:tc>
          <w:tcPr>
            <w:tcW w:w="243" w:type="dxa"/>
          </w:tcPr>
          <w:p w14:paraId="44667E12" w14:textId="77777777" w:rsidR="001222C5" w:rsidRPr="00173945" w:rsidRDefault="001222C5" w:rsidP="00E13A17">
            <w:pPr>
              <w:ind w:left="-108" w:right="-108"/>
              <w:rPr>
                <w:szCs w:val="24"/>
              </w:rPr>
            </w:pPr>
            <w:r w:rsidRPr="00173945">
              <w:rPr>
                <w:szCs w:val="24"/>
              </w:rPr>
              <w:t>=</w:t>
            </w:r>
          </w:p>
        </w:tc>
        <w:tc>
          <w:tcPr>
            <w:tcW w:w="5598" w:type="dxa"/>
          </w:tcPr>
          <w:p w14:paraId="2AFF47BD" w14:textId="77777777" w:rsidR="001222C5" w:rsidRPr="00173945" w:rsidRDefault="001222C5" w:rsidP="00E13A17">
            <w:pPr>
              <w:rPr>
                <w:szCs w:val="24"/>
              </w:rPr>
            </w:pPr>
            <w:r w:rsidRPr="00173945">
              <w:rPr>
                <w:szCs w:val="24"/>
              </w:rPr>
              <w:t>Actual NO</w:t>
            </w:r>
            <w:r w:rsidRPr="00173945">
              <w:rPr>
                <w:szCs w:val="24"/>
                <w:vertAlign w:val="subscript"/>
              </w:rPr>
              <w:t>x</w:t>
            </w:r>
            <w:r w:rsidRPr="00173945">
              <w:rPr>
                <w:szCs w:val="24"/>
              </w:rPr>
              <w:t xml:space="preserve"> emission rate (lbs/mmBtu or lbs/ton of product) as determined by a performance test, a CEMS, a PEMS, or an alternative method approved by the Agency.</w:t>
            </w:r>
          </w:p>
        </w:tc>
      </w:tr>
      <w:tr w:rsidR="001222C5" w:rsidRPr="00173945" w14:paraId="226F5818" w14:textId="77777777" w:rsidTr="003E599B">
        <w:trPr>
          <w:trHeight w:val="810"/>
        </w:trPr>
        <w:tc>
          <w:tcPr>
            <w:tcW w:w="1197" w:type="dxa"/>
          </w:tcPr>
          <w:p w14:paraId="486E1B8F" w14:textId="37F791CB" w:rsidR="001222C5" w:rsidRPr="00173945" w:rsidRDefault="008D6492" w:rsidP="008317DD">
            <w:pPr>
              <w:ind w:left="-247" w:right="368"/>
              <w:rPr>
                <w:szCs w:val="24"/>
              </w:rPr>
            </w:pPr>
            <m:oMathPara>
              <m:oMath>
                <m:sSub>
                  <m:sSubPr>
                    <m:ctrlPr>
                      <w:rPr>
                        <w:rFonts w:ascii="Cambria Math" w:hAnsi="Cambria Math"/>
                        <w:i/>
                        <w:szCs w:val="24"/>
                      </w:rPr>
                    </m:ctrlPr>
                  </m:sSubPr>
                  <m:e>
                    <m:r>
                      <w:rPr>
                        <w:rFonts w:ascii="Cambria Math"/>
                        <w:szCs w:val="24"/>
                      </w:rPr>
                      <m:t>E</m:t>
                    </m:r>
                  </m:e>
                  <m:sub>
                    <m:r>
                      <w:rPr>
                        <w:rFonts w:ascii="Cambria Math"/>
                        <w:szCs w:val="24"/>
                      </w:rPr>
                      <m:t>all</m:t>
                    </m:r>
                  </m:sub>
                </m:sSub>
              </m:oMath>
            </m:oMathPara>
          </w:p>
        </w:tc>
        <w:tc>
          <w:tcPr>
            <w:tcW w:w="243" w:type="dxa"/>
          </w:tcPr>
          <w:p w14:paraId="432422B4" w14:textId="77777777" w:rsidR="001222C5" w:rsidRPr="00173945" w:rsidRDefault="001222C5" w:rsidP="00E13A17">
            <w:pPr>
              <w:ind w:left="-108" w:right="-108"/>
              <w:rPr>
                <w:szCs w:val="24"/>
              </w:rPr>
            </w:pPr>
            <w:r w:rsidRPr="00173945">
              <w:rPr>
                <w:szCs w:val="24"/>
              </w:rPr>
              <w:t>=</w:t>
            </w:r>
          </w:p>
        </w:tc>
        <w:tc>
          <w:tcPr>
            <w:tcW w:w="5598" w:type="dxa"/>
          </w:tcPr>
          <w:p w14:paraId="5C54207E" w14:textId="7DB1C1D7" w:rsidR="001222C5" w:rsidRPr="00173945" w:rsidRDefault="001222C5" w:rsidP="00E13A17">
            <w:pPr>
              <w:rPr>
                <w:szCs w:val="24"/>
              </w:rPr>
            </w:pPr>
            <w:r w:rsidRPr="00173945">
              <w:rPr>
                <w:szCs w:val="24"/>
              </w:rPr>
              <w:t>Allowable NO</w:t>
            </w:r>
            <w:r w:rsidRPr="00173945">
              <w:rPr>
                <w:szCs w:val="24"/>
                <w:vertAlign w:val="subscript"/>
              </w:rPr>
              <w:t>x</w:t>
            </w:r>
            <w:r w:rsidRPr="00173945">
              <w:rPr>
                <w:szCs w:val="24"/>
              </w:rPr>
              <w:t xml:space="preserve"> emission rate (lbs/mmBtu or lbs/ton of product) as provided in Section 217.164, 217.184, 217.204, 217.224, 217.244, or 217.344, as applicable.  </w:t>
            </w:r>
          </w:p>
        </w:tc>
      </w:tr>
      <w:tr w:rsidR="001222C5" w:rsidRPr="00173945" w14:paraId="35F764E6" w14:textId="77777777" w:rsidTr="003E599B">
        <w:trPr>
          <w:trHeight w:val="1062"/>
        </w:trPr>
        <w:tc>
          <w:tcPr>
            <w:tcW w:w="1197" w:type="dxa"/>
          </w:tcPr>
          <w:p w14:paraId="421BF348" w14:textId="77777777" w:rsidR="001222C5" w:rsidRPr="00173945" w:rsidRDefault="001222C5" w:rsidP="003E599B">
            <w:pPr>
              <w:ind w:left="8" w:right="-108"/>
              <w:rPr>
                <w:szCs w:val="24"/>
              </w:rPr>
            </w:pPr>
            <w:r w:rsidRPr="00173945">
              <w:rPr>
                <w:szCs w:val="24"/>
              </w:rPr>
              <w:t>H</w:t>
            </w:r>
          </w:p>
        </w:tc>
        <w:tc>
          <w:tcPr>
            <w:tcW w:w="243" w:type="dxa"/>
          </w:tcPr>
          <w:p w14:paraId="4DB2BA88" w14:textId="77777777" w:rsidR="001222C5" w:rsidRPr="00173945" w:rsidRDefault="001222C5" w:rsidP="00E13A17">
            <w:pPr>
              <w:ind w:left="-108" w:right="-108"/>
              <w:rPr>
                <w:szCs w:val="24"/>
              </w:rPr>
            </w:pPr>
            <w:r w:rsidRPr="00173945">
              <w:rPr>
                <w:szCs w:val="24"/>
              </w:rPr>
              <w:t>=</w:t>
            </w:r>
          </w:p>
        </w:tc>
        <w:tc>
          <w:tcPr>
            <w:tcW w:w="5598" w:type="dxa"/>
          </w:tcPr>
          <w:p w14:paraId="1EE44352" w14:textId="77777777" w:rsidR="001222C5" w:rsidRPr="00173945" w:rsidRDefault="001222C5" w:rsidP="00E13A17">
            <w:pPr>
              <w:rPr>
                <w:szCs w:val="24"/>
              </w:rPr>
            </w:pPr>
            <w:r w:rsidRPr="00173945">
              <w:rPr>
                <w:szCs w:val="24"/>
              </w:rPr>
              <w:t>Heat input (mmBtu/30-day rolling average basis) calculated from fuel flow meter and the heating value of the fuel used.</w:t>
            </w:r>
          </w:p>
        </w:tc>
      </w:tr>
      <w:tr w:rsidR="001222C5" w:rsidRPr="00173945" w14:paraId="7C2519FF" w14:textId="77777777" w:rsidTr="003E599B">
        <w:tc>
          <w:tcPr>
            <w:tcW w:w="1197" w:type="dxa"/>
          </w:tcPr>
          <w:p w14:paraId="6EE6A9A9" w14:textId="77777777" w:rsidR="001222C5" w:rsidRPr="00173945" w:rsidRDefault="001222C5" w:rsidP="003E599B">
            <w:pPr>
              <w:ind w:left="-10" w:right="-108"/>
              <w:rPr>
                <w:szCs w:val="24"/>
              </w:rPr>
            </w:pPr>
            <w:r w:rsidRPr="00173945">
              <w:rPr>
                <w:szCs w:val="24"/>
              </w:rPr>
              <w:t>P</w:t>
            </w:r>
          </w:p>
        </w:tc>
        <w:tc>
          <w:tcPr>
            <w:tcW w:w="243" w:type="dxa"/>
          </w:tcPr>
          <w:p w14:paraId="2207BDFE" w14:textId="77777777" w:rsidR="001222C5" w:rsidRPr="00173945" w:rsidRDefault="001222C5" w:rsidP="00E13A17">
            <w:pPr>
              <w:ind w:left="-108" w:right="-108"/>
              <w:rPr>
                <w:szCs w:val="24"/>
              </w:rPr>
            </w:pPr>
            <w:r w:rsidRPr="00173945">
              <w:rPr>
                <w:szCs w:val="24"/>
              </w:rPr>
              <w:t>=</w:t>
            </w:r>
          </w:p>
        </w:tc>
        <w:tc>
          <w:tcPr>
            <w:tcW w:w="5598" w:type="dxa"/>
          </w:tcPr>
          <w:p w14:paraId="1E108E05" w14:textId="77777777" w:rsidR="001222C5" w:rsidRPr="00173945" w:rsidRDefault="001222C5" w:rsidP="00E13A17">
            <w:pPr>
              <w:rPr>
                <w:szCs w:val="24"/>
              </w:rPr>
            </w:pPr>
            <w:r w:rsidRPr="00173945">
              <w:rPr>
                <w:szCs w:val="24"/>
              </w:rPr>
              <w:t>weight in tons of processed product.</w:t>
            </w:r>
          </w:p>
        </w:tc>
      </w:tr>
    </w:tbl>
    <w:p w14:paraId="04ABDE79" w14:textId="77777777" w:rsidR="00AC3119" w:rsidRPr="00EF4D95" w:rsidRDefault="00AC3119" w:rsidP="00EF4D95"/>
    <w:p w14:paraId="292427B5" w14:textId="0F3ACA91" w:rsidR="00EF4D95" w:rsidRPr="00EF4D95" w:rsidRDefault="001222C5" w:rsidP="00EF4D95">
      <w:pPr>
        <w:ind w:left="1440" w:hanging="720"/>
      </w:pPr>
      <w:r>
        <w:t>i</w:t>
      </w:r>
      <w:r w:rsidR="00EF4D95" w:rsidRPr="00EF4D95">
        <w:t>)</w:t>
      </w:r>
      <w:r w:rsidR="00EF4D95">
        <w:tab/>
      </w:r>
      <w:r w:rsidR="00EF4D95" w:rsidRPr="00EF4D95">
        <w:t xml:space="preserve">An owner or operator of an emission unit subject to </w:t>
      </w:r>
      <w:r w:rsidR="00EF4D95" w:rsidRPr="00EF4D95">
        <w:rPr>
          <w:color w:val="000000"/>
        </w:rPr>
        <w:t>Subpart Q of this Part that is located in either one of the areas set forth under Section 217.150(a)(1)(A)</w:t>
      </w:r>
      <w:r w:rsidR="003C251B">
        <w:rPr>
          <w:color w:val="000000"/>
        </w:rPr>
        <w:t>(i) or (ii)</w:t>
      </w:r>
      <w:r w:rsidR="00EF4D95" w:rsidRPr="00EF4D95">
        <w:rPr>
          <w:color w:val="000000"/>
        </w:rPr>
        <w:t xml:space="preserve"> </w:t>
      </w:r>
      <w:r>
        <w:rPr>
          <w:color w:val="000000"/>
          <w:szCs w:val="24"/>
        </w:rPr>
        <w:t xml:space="preserve">or Section 217.150(a)(2)(A)(i) or (ii) </w:t>
      </w:r>
      <w:r w:rsidR="00EF4D95" w:rsidRPr="00EF4D95">
        <w:t>that is complying through an emissions averaging plan under this Section must comply with the applicable provisions for determining actual and allowable emissions under Section 217.390, the testing and monitoring requirements under Section 217.394, and the recordkeeping and reporting requirements under Section 217.396.</w:t>
      </w:r>
    </w:p>
    <w:p w14:paraId="6B14099E" w14:textId="77777777" w:rsidR="00EF4D95" w:rsidRPr="00EF4D95" w:rsidRDefault="00EF4D95" w:rsidP="00EF4D95"/>
    <w:p w14:paraId="65C0693C" w14:textId="5D79DD30" w:rsidR="00537778" w:rsidRDefault="001222C5" w:rsidP="00EF4D95">
      <w:pPr>
        <w:ind w:left="1440" w:hanging="720"/>
      </w:pPr>
      <w:r>
        <w:t>j</w:t>
      </w:r>
      <w:r w:rsidR="00EF4D95" w:rsidRPr="00EF4D95">
        <w:t>)</w:t>
      </w:r>
      <w:r w:rsidR="00EF4D95">
        <w:tab/>
      </w:r>
      <w:r w:rsidR="00EF4D95" w:rsidRPr="00EF4D95">
        <w:t xml:space="preserve">The owner or operator of an emission unit located at a petroleum refinery who is demonstrating compliance with an applicable Subpart through an emissions averaging plan under this Section may exclude from the calculation demonstrating compliance </w:t>
      </w:r>
      <w:r w:rsidR="00537778">
        <w:t xml:space="preserve">(i.e. 30-day rolling average under Section 217.152) </w:t>
      </w:r>
      <w:r w:rsidR="00EF4D95" w:rsidRPr="00EF4D95">
        <w:t xml:space="preserve">those time periods when an emission unit included in the emissions averaging plan is shut down for a maintenance turnaround, provided that </w:t>
      </w:r>
      <w:r w:rsidR="00537778">
        <w:t>the requirements in subsection (j)(</w:t>
      </w:r>
      <w:r w:rsidR="00583477">
        <w:t>1</w:t>
      </w:r>
      <w:r w:rsidR="00537778">
        <w:t>) through (j)(5) are met:</w:t>
      </w:r>
    </w:p>
    <w:p w14:paraId="7C69FEC8" w14:textId="77777777" w:rsidR="00537778" w:rsidRDefault="00537778" w:rsidP="0068306A"/>
    <w:p w14:paraId="78E76708" w14:textId="763047A4" w:rsidR="00537778" w:rsidRDefault="00537778" w:rsidP="00537778">
      <w:pPr>
        <w:ind w:left="2160" w:hanging="720"/>
      </w:pPr>
      <w:r>
        <w:t>1)</w:t>
      </w:r>
      <w:r>
        <w:tab/>
      </w:r>
      <w:r w:rsidR="001222C5">
        <w:t>the</w:t>
      </w:r>
      <w:r w:rsidR="00EF4D95" w:rsidRPr="00EF4D95">
        <w:t xml:space="preserve"> owner or operator notify the Agency in writing at least 30 days in advance of the shutdown of the emission unit for the maintenance turnaround</w:t>
      </w:r>
      <w:r>
        <w:t>;</w:t>
      </w:r>
      <w:r w:rsidR="00EF4D95" w:rsidRPr="00EF4D95">
        <w:t xml:space="preserve"> </w:t>
      </w:r>
    </w:p>
    <w:p w14:paraId="25EB87ED" w14:textId="77777777" w:rsidR="00537778" w:rsidRDefault="00537778" w:rsidP="0068306A"/>
    <w:p w14:paraId="4B955789" w14:textId="353951BE" w:rsidR="00537778" w:rsidRDefault="00537778" w:rsidP="00537778">
      <w:pPr>
        <w:ind w:left="2160" w:hanging="720"/>
      </w:pPr>
      <w:r>
        <w:lastRenderedPageBreak/>
        <w:t>2)</w:t>
      </w:r>
      <w:r>
        <w:tab/>
      </w:r>
      <w:r w:rsidR="00EF4D95" w:rsidRPr="00EF4D95">
        <w:t>the shutdown of the emission unit does not exceed 45 days per ozone season or calendar year</w:t>
      </w:r>
      <w:r>
        <w:t>;</w:t>
      </w:r>
      <w:r w:rsidR="00EF4D95" w:rsidRPr="00EF4D95">
        <w:t xml:space="preserve"> </w:t>
      </w:r>
    </w:p>
    <w:p w14:paraId="6D8B59D1" w14:textId="77777777" w:rsidR="00537778" w:rsidRDefault="00537778" w:rsidP="0068306A"/>
    <w:p w14:paraId="540601BE" w14:textId="5D632B03" w:rsidR="00537778" w:rsidRDefault="00537778" w:rsidP="00537778">
      <w:pPr>
        <w:ind w:left="2160" w:hanging="720"/>
      </w:pPr>
      <w:r>
        <w:t>3)</w:t>
      </w:r>
      <w:r>
        <w:tab/>
      </w:r>
      <w:r w:rsidRPr="00537778">
        <w:t>daily emissions of the combined emission units in the emissions averaging plan during the maintenance turnaround do not exceed the turnaround daily emissions cap. The turnaround daily emissions cap is the highest average daily emissions</w:t>
      </w:r>
      <w:r>
        <w:t xml:space="preserve"> </w:t>
      </w:r>
      <w:r w:rsidRPr="00537778">
        <w:t>value of the three prior calendar years, where the combined emissions of units in the emissions averaging plan are summed on a daily basis, and those values are averaged for a given calendar year. The turnaround daily emission cap is to be submitted to the Agency in the written notification described in subsection (j)(</w:t>
      </w:r>
      <w:r w:rsidR="00971D46">
        <w:t>1</w:t>
      </w:r>
      <w:r w:rsidRPr="00537778">
        <w:t>);</w:t>
      </w:r>
    </w:p>
    <w:p w14:paraId="6E0C8C65" w14:textId="77777777" w:rsidR="00537778" w:rsidRDefault="00537778" w:rsidP="0068306A"/>
    <w:p w14:paraId="7AC1DB72" w14:textId="7301C6E7" w:rsidR="00EF4D95" w:rsidRPr="00EF4D95" w:rsidRDefault="00537778" w:rsidP="00537778">
      <w:pPr>
        <w:ind w:left="2160" w:hanging="720"/>
      </w:pPr>
      <w:r>
        <w:t>4)</w:t>
      </w:r>
      <w:r>
        <w:tab/>
      </w:r>
      <w:r w:rsidR="00EF4D95" w:rsidRPr="00EF4D95">
        <w:t>NO</w:t>
      </w:r>
      <w:r w:rsidR="00EF4D95" w:rsidRPr="00EF4D95">
        <w:rPr>
          <w:vertAlign w:val="subscript"/>
        </w:rPr>
        <w:t>x</w:t>
      </w:r>
      <w:r w:rsidR="00EF4D95" w:rsidRPr="00EF4D95">
        <w:t xml:space="preserve"> pollution control equipment, if any, continues to operate on all other emission units operating during the maintenance turnaround</w:t>
      </w:r>
      <w:r>
        <w:t>; and</w:t>
      </w:r>
    </w:p>
    <w:p w14:paraId="7A0C97BA" w14:textId="7075C947" w:rsidR="00EF4D95" w:rsidRDefault="00EF4D95" w:rsidP="00EF4D95"/>
    <w:p w14:paraId="53E763A2" w14:textId="77777777" w:rsidR="00537778" w:rsidRPr="00013F9E" w:rsidRDefault="00537778" w:rsidP="00013F9E">
      <w:pPr>
        <w:ind w:left="2160" w:hanging="720"/>
      </w:pPr>
      <w:r>
        <w:t>5)</w:t>
      </w:r>
      <w:r>
        <w:tab/>
      </w:r>
      <w:r w:rsidRPr="00013F9E">
        <w:t>the owner or operator notifies the Agency in writing within 30 days of the end of the maintenance turnaround of the actual start and end dates for the maintenance turnaround and, for each day of the maintenance turnaround, the daily emissions of the combined emission units in the emissions averaging plan.</w:t>
      </w:r>
    </w:p>
    <w:p w14:paraId="0BFF0207" w14:textId="77777777" w:rsidR="00537778" w:rsidRDefault="00537778" w:rsidP="0068306A"/>
    <w:p w14:paraId="0B41BD52" w14:textId="50FD7FCA" w:rsidR="00537778" w:rsidRDefault="00537778" w:rsidP="00537778">
      <w:pPr>
        <w:ind w:left="1440"/>
      </w:pPr>
      <w:r w:rsidRPr="00537778">
        <w:t>The owner or operator must resume compliance with the 30-day rolling average on the calendar day immediately following the end of the maintenance turnaround and incorporating the operating days preceding the maintenance turnaround. For purposes of this subsection, "maintenance turnaround" means the shutdown of any emission unit or control equipment that is scheduled at least 30 days in advance of the shutdown and the purpose of such shutdown is to (1) perform general equipment cleaning and repairs due to normal equipment wear and tear; (2) perform required equipment tests and internal inspections; (3) install any unit or equipment modifications/additions, or make provisions for a future modification or addition; and/or (4) perform normal end-of-run catalyst changeouts or refurbishments.</w:t>
      </w:r>
    </w:p>
    <w:p w14:paraId="281C3988" w14:textId="77777777" w:rsidR="00537778" w:rsidRPr="00537778" w:rsidRDefault="00537778" w:rsidP="0068306A"/>
    <w:p w14:paraId="5025A963" w14:textId="4A22F1CF" w:rsidR="00EF4D95" w:rsidRPr="00EF4D95" w:rsidRDefault="001222C5" w:rsidP="00EF4D95">
      <w:pPr>
        <w:ind w:left="1440" w:hanging="720"/>
      </w:pPr>
      <w:r>
        <w:t>k</w:t>
      </w:r>
      <w:r w:rsidR="00EF4D95" w:rsidRPr="00EF4D95">
        <w:t>)</w:t>
      </w:r>
      <w:r w:rsidR="00EF4D95">
        <w:tab/>
      </w:r>
      <w:r w:rsidR="00EC7681">
        <w:t>Until</w:t>
      </w:r>
      <w:r w:rsidR="0009790B">
        <w:t xml:space="preserve"> July 1, 2025</w:t>
      </w:r>
      <w:r w:rsidR="00EC7681">
        <w:t>, the</w:t>
      </w:r>
      <w:r w:rsidR="00EF4D95" w:rsidRPr="00EF4D95">
        <w:t xml:space="preserve"> owner or operator of an emission unit that combusts a combination of coke oven gas and other gaseous fuels and </w:t>
      </w:r>
      <w:r w:rsidR="002140AE">
        <w:t xml:space="preserve">that is </w:t>
      </w:r>
      <w:r w:rsidR="00EF4D95" w:rsidRPr="00EF4D95">
        <w:t xml:space="preserve">located at a source that manufactures iron and steel who is demonstrating compliance with an applicable Subpart through an emissions averaging plan under this Section may exclude from the calculation demonstrating compliance those time periods when the coke oven gas desulfurization unit included in the emissions averaging plan is shut down for maintenance, provided that </w:t>
      </w:r>
      <w:r>
        <w:t>the</w:t>
      </w:r>
      <w:r w:rsidR="00EF4D95" w:rsidRPr="00EF4D95">
        <w:t xml:space="preserve"> owner or operator notify the Agency in writing at least 30 days in advance of the shutdown of the coke oven gas desulfurization unit for maintenance and </w:t>
      </w:r>
      <w:r>
        <w:t>the</w:t>
      </w:r>
      <w:r w:rsidR="00EF4D95" w:rsidRPr="00EF4D95">
        <w:t xml:space="preserve"> shutdown does not exceed 35 days per ozone season or calendar year and NO</w:t>
      </w:r>
      <w:r w:rsidR="00EF4D95" w:rsidRPr="00EF4D95">
        <w:rPr>
          <w:vertAlign w:val="subscript"/>
        </w:rPr>
        <w:t>x</w:t>
      </w:r>
      <w:r w:rsidR="00EF4D95" w:rsidRPr="00EF4D95">
        <w:t xml:space="preserve"> pollution control equipment, if any, continues to operate on all other emission units operating during the maintenance period.</w:t>
      </w:r>
    </w:p>
    <w:p w14:paraId="4FE02DAE" w14:textId="77777777" w:rsidR="00EF4D95" w:rsidRPr="003C251B" w:rsidRDefault="00EF4D95" w:rsidP="003C251B"/>
    <w:p w14:paraId="66454992" w14:textId="39A371CF" w:rsidR="00A53C22" w:rsidRDefault="001222C5" w:rsidP="003C251B">
      <w:pPr>
        <w:ind w:left="1440" w:hanging="720"/>
      </w:pPr>
      <w:r>
        <w:lastRenderedPageBreak/>
        <w:t>l</w:t>
      </w:r>
      <w:r w:rsidR="003C251B" w:rsidRPr="003C251B">
        <w:t>)</w:t>
      </w:r>
      <w:r w:rsidR="003C251B">
        <w:tab/>
      </w:r>
      <w:r w:rsidR="003C251B" w:rsidRPr="003C251B">
        <w:t xml:space="preserve">The owner or operator of an emission unit located at a petroleum refinery who is demonstrating compliance with an applicable Subpart through an emissions averaging plan under this Section may exclude from the calculation demonstrating compliance </w:t>
      </w:r>
      <w:r w:rsidR="00EC7681">
        <w:t>(i.e. 30-day rolling average under Section 2</w:t>
      </w:r>
      <w:r w:rsidR="00143DC6">
        <w:t xml:space="preserve">17.152) </w:t>
      </w:r>
      <w:r w:rsidR="003C251B" w:rsidRPr="003C251B">
        <w:t>those time periods when NO</w:t>
      </w:r>
      <w:r w:rsidR="003C251B" w:rsidRPr="003C251B">
        <w:rPr>
          <w:vertAlign w:val="subscript"/>
        </w:rPr>
        <w:t>x</w:t>
      </w:r>
      <w:r w:rsidR="003C251B" w:rsidRPr="003C251B">
        <w:t xml:space="preserve"> pollution control equipment that controls one or more emission units included in the emissions averaging plan is shut down for a maintenance turnaround, provided that</w:t>
      </w:r>
      <w:r w:rsidR="00EF472A">
        <w:t xml:space="preserve"> the requirements in subsection (l)(1) through (l)(5) are met</w:t>
      </w:r>
      <w:r w:rsidR="00A53C22">
        <w:t>:</w:t>
      </w:r>
      <w:r w:rsidR="003C251B" w:rsidRPr="003C251B">
        <w:t xml:space="preserve"> </w:t>
      </w:r>
    </w:p>
    <w:p w14:paraId="0B244C52" w14:textId="77777777" w:rsidR="00A53C22" w:rsidRDefault="00A53C22" w:rsidP="0068306A"/>
    <w:p w14:paraId="0A9096F2" w14:textId="77777777" w:rsidR="00A53C22" w:rsidRDefault="00A53C22" w:rsidP="00A53C22">
      <w:pPr>
        <w:ind w:left="2160" w:hanging="720"/>
      </w:pPr>
      <w:r>
        <w:t>1)</w:t>
      </w:r>
      <w:r>
        <w:tab/>
        <w:t xml:space="preserve">the </w:t>
      </w:r>
      <w:r w:rsidR="003C251B" w:rsidRPr="003C251B">
        <w:t>owner or operator notify the Agency in writing</w:t>
      </w:r>
      <w:r>
        <w:t>,</w:t>
      </w:r>
      <w:r w:rsidR="003C251B" w:rsidRPr="003C251B">
        <w:t xml:space="preserve"> at least 30 days in advance of the shutdown</w:t>
      </w:r>
      <w:r>
        <w:t>,</w:t>
      </w:r>
      <w:r w:rsidR="003C251B" w:rsidRPr="003C251B">
        <w:t xml:space="preserve"> of the NO</w:t>
      </w:r>
      <w:r w:rsidR="003C251B" w:rsidRPr="003C251B">
        <w:rPr>
          <w:vertAlign w:val="subscript"/>
        </w:rPr>
        <w:t>x</w:t>
      </w:r>
      <w:r w:rsidR="003C251B" w:rsidRPr="003C251B">
        <w:t xml:space="preserve"> pollution control equipment for the maintenance turnaround</w:t>
      </w:r>
      <w:r>
        <w:t>;</w:t>
      </w:r>
    </w:p>
    <w:p w14:paraId="67FB7B62" w14:textId="77777777" w:rsidR="00A53C22" w:rsidRDefault="00A53C22" w:rsidP="0068306A"/>
    <w:p w14:paraId="35B944A8" w14:textId="4E51E359" w:rsidR="00A53C22" w:rsidRDefault="00A53C22" w:rsidP="00A53C22">
      <w:pPr>
        <w:ind w:left="2160" w:hanging="720"/>
      </w:pPr>
      <w:r>
        <w:t>2)</w:t>
      </w:r>
      <w:r>
        <w:tab/>
      </w:r>
      <w:r w:rsidR="003C251B" w:rsidRPr="003C251B">
        <w:t>the shutdown of the NO</w:t>
      </w:r>
      <w:r w:rsidR="003C251B" w:rsidRPr="003C251B">
        <w:rPr>
          <w:vertAlign w:val="subscript"/>
        </w:rPr>
        <w:t>x</w:t>
      </w:r>
      <w:r w:rsidR="003C251B" w:rsidRPr="003C251B">
        <w:t xml:space="preserve"> pollution control equipment does not exceed 45 days per ozone season or calendar year</w:t>
      </w:r>
      <w:r>
        <w:t>;</w:t>
      </w:r>
      <w:r w:rsidR="003C251B" w:rsidRPr="003C251B">
        <w:t xml:space="preserve"> </w:t>
      </w:r>
    </w:p>
    <w:p w14:paraId="1F8BA3A5" w14:textId="31D2C5EB" w:rsidR="00A53C22" w:rsidRDefault="00A53C22" w:rsidP="0068306A"/>
    <w:p w14:paraId="7DFF9ACA" w14:textId="43134C01" w:rsidR="00EF472A" w:rsidRDefault="00EF472A" w:rsidP="00A53C22">
      <w:pPr>
        <w:ind w:left="2160" w:hanging="720"/>
      </w:pPr>
      <w:r>
        <w:t>3)</w:t>
      </w:r>
      <w:r>
        <w:tab/>
      </w:r>
      <w:r w:rsidRPr="00912CDC">
        <w:t>daily emissions of the combined emission units in the emissions averaging plan during the maintenance turnaround do not exceed the turnaround daily emissions cap. The turnaround daily emissions cap is the highest average daily emissions value of the three prior calendar years, where the combined emissions of units in the emissions averaging plan are summed on a daily basis, and those values are averaged for a given calendar year. The turnaround daily emission cap is to be submitted to the Agency in the written notification described in subsection (</w:t>
      </w:r>
      <w:r w:rsidR="008C07EC" w:rsidRPr="00912CDC">
        <w:t>l</w:t>
      </w:r>
      <w:r w:rsidRPr="00912CDC">
        <w:t>)(1);</w:t>
      </w:r>
    </w:p>
    <w:p w14:paraId="6F15105B" w14:textId="77777777" w:rsidR="00EF472A" w:rsidRDefault="00EF472A" w:rsidP="0068306A"/>
    <w:p w14:paraId="4B11B6C6" w14:textId="24F84769" w:rsidR="003C251B" w:rsidRPr="003C251B" w:rsidRDefault="00EF472A" w:rsidP="00A53C22">
      <w:pPr>
        <w:ind w:left="2160" w:hanging="720"/>
      </w:pPr>
      <w:r>
        <w:t>4</w:t>
      </w:r>
      <w:r w:rsidR="00A53C22">
        <w:t>)</w:t>
      </w:r>
      <w:r w:rsidR="00A53C22">
        <w:tab/>
      </w:r>
      <w:r w:rsidR="00061EB0">
        <w:t xml:space="preserve">except </w:t>
      </w:r>
      <w:r w:rsidR="00592BFE">
        <w:t xml:space="preserve">for </w:t>
      </w:r>
      <w:r w:rsidR="003C251B" w:rsidRPr="003C251B">
        <w:t>those emission units vented to the NO</w:t>
      </w:r>
      <w:r w:rsidR="003C251B" w:rsidRPr="003C251B">
        <w:rPr>
          <w:vertAlign w:val="subscript"/>
        </w:rPr>
        <w:t>x</w:t>
      </w:r>
      <w:r w:rsidR="003C251B" w:rsidRPr="003C251B">
        <w:t xml:space="preserve"> pollution control equipment undergoing the maintenance turnaround, NO</w:t>
      </w:r>
      <w:r w:rsidR="003C251B" w:rsidRPr="003C251B">
        <w:rPr>
          <w:vertAlign w:val="subscript"/>
        </w:rPr>
        <w:t>x</w:t>
      </w:r>
      <w:r w:rsidR="003C251B" w:rsidRPr="003C251B">
        <w:t xml:space="preserve"> pollution control equipment, if any, continues to operate on all other emission units operating during the maintenance turnaround</w:t>
      </w:r>
      <w:r w:rsidR="003B1C76">
        <w:t>; and</w:t>
      </w:r>
    </w:p>
    <w:p w14:paraId="019DAEDD" w14:textId="26CA2BED" w:rsidR="003C251B" w:rsidRDefault="003C251B" w:rsidP="003C251B"/>
    <w:p w14:paraId="472A8B67" w14:textId="5997BC01" w:rsidR="00EF472A" w:rsidRPr="003B1C76" w:rsidRDefault="00EF472A" w:rsidP="003B1C76">
      <w:pPr>
        <w:ind w:left="2160" w:hanging="720"/>
      </w:pPr>
      <w:r>
        <w:t>5)</w:t>
      </w:r>
      <w:r>
        <w:tab/>
      </w:r>
      <w:r w:rsidRPr="00912CDC">
        <w:t>the owner or operator notifies the Agency in writing within 30 days of the end of the maintenance turnaround of the actual start and end dates for the maintenance turnaround and, for each day of the maintenance turnaround, the daily emissions of the combined emission units in the emissions averaging plan.</w:t>
      </w:r>
    </w:p>
    <w:p w14:paraId="4632CC87" w14:textId="77777777" w:rsidR="00EF472A" w:rsidRPr="003B1C76" w:rsidRDefault="00EF472A" w:rsidP="0068306A"/>
    <w:p w14:paraId="25DD3647" w14:textId="77777777" w:rsidR="00EF472A" w:rsidRPr="00912CDC" w:rsidRDefault="00EF472A" w:rsidP="00912CDC">
      <w:pPr>
        <w:ind w:left="2160"/>
      </w:pPr>
      <w:r w:rsidRPr="00912CDC">
        <w:t xml:space="preserve">The owner or operator must resume compliance with the 30-day rolling average on the calendar day immediately following the end of the maintenance turnaround and incorporating the operating days preceding the maintenance turnaround. For purposes of this subsection, "maintenance turnaround" means the shutdown of any emission unit or control equipment that is scheduled at least 30 days in advance of the shutdown and the purpose of such shutdown is to (1) perform general equipment cleaning and repairs due to normal equipment wear and tear; (2) perform required equipment tests and internal inspections; (3) install any unit or equipment modifications/additions, or make provisions for a </w:t>
      </w:r>
      <w:r w:rsidRPr="00912CDC">
        <w:lastRenderedPageBreak/>
        <w:t>future modification or addition; and/or (4) perform normal end-of-run catalyst changeouts or refurbishments.</w:t>
      </w:r>
    </w:p>
    <w:p w14:paraId="32781677" w14:textId="77777777" w:rsidR="00EF472A" w:rsidRPr="00EF472A" w:rsidRDefault="00EF472A" w:rsidP="00EF472A"/>
    <w:p w14:paraId="44029072" w14:textId="769B65EB" w:rsidR="00EF472A" w:rsidRPr="00EF472A" w:rsidRDefault="00EF472A" w:rsidP="00EF472A">
      <w:pPr>
        <w:ind w:left="1440" w:hanging="720"/>
      </w:pPr>
      <w:r w:rsidRPr="00EF472A">
        <w:t>m)</w:t>
      </w:r>
      <w:r>
        <w:tab/>
      </w:r>
      <w:r w:rsidRPr="00EF472A">
        <w:t>Notwithstanding subsection (h), for the owner or operator of a petroleum refinery located in Channahon or Wood River, the equation used to determine compliance before January</w:t>
      </w:r>
      <w:r w:rsidR="00971D46">
        <w:t xml:space="preserve"> 1</w:t>
      </w:r>
      <w:r w:rsidRPr="00EF472A">
        <w:t>, 2028, is as follows:</w:t>
      </w:r>
    </w:p>
    <w:p w14:paraId="316C4E9D" w14:textId="77777777" w:rsidR="00EF472A" w:rsidRPr="00EF472A" w:rsidRDefault="00EF472A" w:rsidP="00EF472A">
      <w:pPr>
        <w:widowControl w:val="0"/>
        <w:autoSpaceDE w:val="0"/>
        <w:autoSpaceDN w:val="0"/>
        <w:spacing w:before="10"/>
        <w:rPr>
          <w:szCs w:val="24"/>
        </w:rPr>
      </w:pPr>
    </w:p>
    <w:p w14:paraId="2310B7C7" w14:textId="4F91D2E1" w:rsidR="00EF472A" w:rsidRPr="00EF472A" w:rsidRDefault="008D6492" w:rsidP="00EF472A">
      <w:pPr>
        <w:widowControl w:val="0"/>
        <w:autoSpaceDE w:val="0"/>
        <w:autoSpaceDN w:val="0"/>
        <w:ind w:left="3420" w:right="3033"/>
        <w:jc w:val="center"/>
        <w:rPr>
          <w:i/>
          <w:szCs w:val="24"/>
        </w:rPr>
      </w:pPr>
      <m:oMathPara>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act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all</m:t>
              </m:r>
            </m:sub>
          </m:sSub>
        </m:oMath>
      </m:oMathPara>
    </w:p>
    <w:p w14:paraId="5366FF7E" w14:textId="77777777" w:rsidR="00EF472A" w:rsidRPr="00EF472A" w:rsidRDefault="00EF472A" w:rsidP="00EF472A">
      <w:pPr>
        <w:widowControl w:val="0"/>
        <w:autoSpaceDE w:val="0"/>
        <w:autoSpaceDN w:val="0"/>
        <w:spacing w:before="9"/>
        <w:rPr>
          <w:i/>
          <w:szCs w:val="24"/>
        </w:rPr>
      </w:pPr>
    </w:p>
    <w:p w14:paraId="31647970" w14:textId="5B9C9EA6" w:rsidR="00EF472A" w:rsidRPr="00EF472A" w:rsidRDefault="00EF472A" w:rsidP="00EF472A">
      <w:pPr>
        <w:widowControl w:val="0"/>
        <w:autoSpaceDE w:val="0"/>
        <w:autoSpaceDN w:val="0"/>
        <w:ind w:left="2302" w:right="1440"/>
        <w:jc w:val="center"/>
        <w:rPr>
          <w:szCs w:val="24"/>
        </w:rPr>
      </w:pPr>
      <w:r w:rsidRPr="00EF472A">
        <w:rPr>
          <w:spacing w:val="-1"/>
          <w:w w:val="103"/>
          <w:szCs w:val="24"/>
        </w:rPr>
        <w:t>Wher</w:t>
      </w:r>
      <w:r w:rsidRPr="00EF472A">
        <w:rPr>
          <w:w w:val="103"/>
          <w:szCs w:val="24"/>
        </w:rPr>
        <w:t>e</w:t>
      </w:r>
      <w:r w:rsidRPr="00EF472A">
        <w:rPr>
          <w:spacing w:val="9"/>
          <w:szCs w:val="24"/>
        </w:rPr>
        <w:t xml:space="preserve"> </w:t>
      </w:r>
      <w:r w:rsidRPr="00EF472A">
        <w:rPr>
          <w:spacing w:val="-1"/>
          <w:w w:val="84"/>
          <w:szCs w:val="24"/>
        </w:rPr>
        <w:t>N</w:t>
      </w:r>
      <w:r w:rsidRPr="00EF472A">
        <w:rPr>
          <w:spacing w:val="-1"/>
          <w:w w:val="84"/>
          <w:szCs w:val="24"/>
          <w:vertAlign w:val="subscript"/>
        </w:rPr>
        <w:t>ac</w:t>
      </w:r>
      <w:r w:rsidRPr="00EF472A">
        <w:rPr>
          <w:w w:val="84"/>
          <w:szCs w:val="24"/>
          <w:vertAlign w:val="subscript"/>
        </w:rPr>
        <w:t>t</w:t>
      </w:r>
      <w:r w:rsidRPr="00EF472A">
        <w:rPr>
          <w:spacing w:val="6"/>
          <w:szCs w:val="24"/>
        </w:rPr>
        <w:t xml:space="preserve"> </w:t>
      </w:r>
      <w:r w:rsidRPr="00EF472A">
        <w:rPr>
          <w:spacing w:val="-1"/>
          <w:w w:val="102"/>
          <w:szCs w:val="24"/>
        </w:rPr>
        <w:t>an</w:t>
      </w:r>
      <w:r w:rsidRPr="00EF472A">
        <w:rPr>
          <w:w w:val="102"/>
          <w:szCs w:val="24"/>
        </w:rPr>
        <w:t>d</w:t>
      </w:r>
      <w:r w:rsidRPr="00EF472A">
        <w:rPr>
          <w:spacing w:val="11"/>
          <w:szCs w:val="24"/>
        </w:rPr>
        <w:t xml:space="preserve"> </w:t>
      </w:r>
      <w:r w:rsidRPr="00EF472A">
        <w:rPr>
          <w:spacing w:val="2"/>
          <w:w w:val="102"/>
          <w:szCs w:val="24"/>
        </w:rPr>
        <w:t>N</w:t>
      </w:r>
      <w:r>
        <w:rPr>
          <w:spacing w:val="-4"/>
          <w:w w:val="102"/>
          <w:position w:val="-2"/>
          <w:szCs w:val="24"/>
          <w:vertAlign w:val="subscript"/>
        </w:rPr>
        <w:t>all</w:t>
      </w:r>
      <w:r w:rsidRPr="00EF472A">
        <w:rPr>
          <w:spacing w:val="12"/>
          <w:szCs w:val="24"/>
        </w:rPr>
        <w:t xml:space="preserve"> </w:t>
      </w:r>
      <w:r w:rsidRPr="00EF472A">
        <w:rPr>
          <w:spacing w:val="-1"/>
          <w:w w:val="106"/>
          <w:szCs w:val="24"/>
        </w:rPr>
        <w:t>ar</w:t>
      </w:r>
      <w:r w:rsidRPr="00EF472A">
        <w:rPr>
          <w:w w:val="106"/>
          <w:szCs w:val="24"/>
        </w:rPr>
        <w:t>e</w:t>
      </w:r>
      <w:r w:rsidRPr="00EF472A">
        <w:rPr>
          <w:spacing w:val="-2"/>
          <w:szCs w:val="24"/>
        </w:rPr>
        <w:t xml:space="preserve"> </w:t>
      </w:r>
      <w:r w:rsidRPr="00EF472A">
        <w:rPr>
          <w:w w:val="101"/>
          <w:szCs w:val="24"/>
        </w:rPr>
        <w:t>defined</w:t>
      </w:r>
      <w:r w:rsidRPr="00EF472A">
        <w:rPr>
          <w:spacing w:val="16"/>
          <w:szCs w:val="24"/>
        </w:rPr>
        <w:t xml:space="preserve"> </w:t>
      </w:r>
      <w:r w:rsidRPr="00EF472A">
        <w:rPr>
          <w:spacing w:val="-1"/>
          <w:w w:val="109"/>
          <w:szCs w:val="24"/>
        </w:rPr>
        <w:t>a</w:t>
      </w:r>
      <w:r w:rsidRPr="00EF472A">
        <w:rPr>
          <w:w w:val="109"/>
          <w:szCs w:val="24"/>
        </w:rPr>
        <w:t>s</w:t>
      </w:r>
      <w:r w:rsidRPr="00EF472A">
        <w:rPr>
          <w:spacing w:val="1"/>
          <w:szCs w:val="24"/>
        </w:rPr>
        <w:t xml:space="preserve"> </w:t>
      </w:r>
      <w:r w:rsidRPr="00EF472A">
        <w:rPr>
          <w:w w:val="102"/>
          <w:szCs w:val="24"/>
        </w:rPr>
        <w:t>under</w:t>
      </w:r>
      <w:r w:rsidRPr="00EF472A">
        <w:rPr>
          <w:spacing w:val="9"/>
          <w:szCs w:val="24"/>
        </w:rPr>
        <w:t xml:space="preserve"> </w:t>
      </w:r>
      <w:r w:rsidRPr="00EF472A">
        <w:rPr>
          <w:spacing w:val="-1"/>
          <w:w w:val="104"/>
          <w:szCs w:val="24"/>
        </w:rPr>
        <w:t>subsectio</w:t>
      </w:r>
      <w:r w:rsidRPr="00EF472A">
        <w:rPr>
          <w:w w:val="104"/>
          <w:szCs w:val="24"/>
        </w:rPr>
        <w:t>n</w:t>
      </w:r>
      <w:r w:rsidRPr="00EF472A">
        <w:rPr>
          <w:spacing w:val="15"/>
          <w:szCs w:val="24"/>
        </w:rPr>
        <w:t xml:space="preserve"> </w:t>
      </w:r>
      <w:r w:rsidRPr="00EF472A">
        <w:rPr>
          <w:w w:val="106"/>
          <w:szCs w:val="24"/>
        </w:rPr>
        <w:t>(h).</w:t>
      </w:r>
    </w:p>
    <w:p w14:paraId="02476DCB" w14:textId="77777777" w:rsidR="00EF472A" w:rsidRPr="003C251B" w:rsidRDefault="00EF472A" w:rsidP="003C251B"/>
    <w:p w14:paraId="1949FB1A" w14:textId="717FB983" w:rsidR="006739EF" w:rsidRPr="00D55B37" w:rsidRDefault="001222C5">
      <w:pPr>
        <w:pStyle w:val="JCARSourceNote"/>
        <w:ind w:left="720"/>
      </w:pPr>
      <w:r w:rsidRPr="00524821">
        <w:t>(Source:  Amended at 4</w:t>
      </w:r>
      <w:r w:rsidR="00EF472A">
        <w:t>9</w:t>
      </w:r>
      <w:r w:rsidRPr="00524821">
        <w:t xml:space="preserve"> Ill. Reg. </w:t>
      </w:r>
      <w:r w:rsidR="001B6550">
        <w:t>6355</w:t>
      </w:r>
      <w:r w:rsidRPr="00524821">
        <w:t xml:space="preserve">, effective </w:t>
      </w:r>
      <w:r w:rsidR="001B6550">
        <w:t>April 23, 2025</w:t>
      </w:r>
      <w:r w:rsidRPr="00524821">
        <w:t>)</w:t>
      </w:r>
    </w:p>
    <w:sectPr w:rsidR="006739E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9677" w14:textId="77777777" w:rsidR="00256742" w:rsidRDefault="00256742">
      <w:r>
        <w:separator/>
      </w:r>
    </w:p>
  </w:endnote>
  <w:endnote w:type="continuationSeparator" w:id="0">
    <w:p w14:paraId="3A21016C" w14:textId="77777777" w:rsidR="00256742" w:rsidRDefault="0025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5214A" w14:textId="77777777" w:rsidR="00256742" w:rsidRDefault="00256742">
      <w:r>
        <w:separator/>
      </w:r>
    </w:p>
  </w:footnote>
  <w:footnote w:type="continuationSeparator" w:id="0">
    <w:p w14:paraId="3F711C2D" w14:textId="77777777" w:rsidR="00256742" w:rsidRDefault="00256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262B"/>
    <w:rsid w:val="00001F1D"/>
    <w:rsid w:val="00003CEF"/>
    <w:rsid w:val="00011A7D"/>
    <w:rsid w:val="000122C7"/>
    <w:rsid w:val="00012EA3"/>
    <w:rsid w:val="00013F9E"/>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1EB0"/>
    <w:rsid w:val="00066013"/>
    <w:rsid w:val="000676A6"/>
    <w:rsid w:val="00074368"/>
    <w:rsid w:val="000765E0"/>
    <w:rsid w:val="00083E97"/>
    <w:rsid w:val="0008539F"/>
    <w:rsid w:val="00085CDF"/>
    <w:rsid w:val="0008689B"/>
    <w:rsid w:val="000943C4"/>
    <w:rsid w:val="0009754B"/>
    <w:rsid w:val="0009790B"/>
    <w:rsid w:val="00097B01"/>
    <w:rsid w:val="000A4C0F"/>
    <w:rsid w:val="000B2808"/>
    <w:rsid w:val="000B2839"/>
    <w:rsid w:val="000B4119"/>
    <w:rsid w:val="000C6D3D"/>
    <w:rsid w:val="000C7A6D"/>
    <w:rsid w:val="000D074F"/>
    <w:rsid w:val="000D167F"/>
    <w:rsid w:val="000D225F"/>
    <w:rsid w:val="000D269B"/>
    <w:rsid w:val="000D2A2F"/>
    <w:rsid w:val="000E04BB"/>
    <w:rsid w:val="000E08CB"/>
    <w:rsid w:val="000E6BBD"/>
    <w:rsid w:val="000E6FF6"/>
    <w:rsid w:val="000E7A0A"/>
    <w:rsid w:val="000F1E7C"/>
    <w:rsid w:val="000F25A1"/>
    <w:rsid w:val="000F6AB6"/>
    <w:rsid w:val="000F6C6D"/>
    <w:rsid w:val="00100715"/>
    <w:rsid w:val="00103C24"/>
    <w:rsid w:val="00110A0B"/>
    <w:rsid w:val="00114190"/>
    <w:rsid w:val="0012221A"/>
    <w:rsid w:val="001222C5"/>
    <w:rsid w:val="001279FD"/>
    <w:rsid w:val="001328A0"/>
    <w:rsid w:val="0014104E"/>
    <w:rsid w:val="001433F3"/>
    <w:rsid w:val="00143DC6"/>
    <w:rsid w:val="00145C78"/>
    <w:rsid w:val="00146F30"/>
    <w:rsid w:val="00146FFB"/>
    <w:rsid w:val="0015097E"/>
    <w:rsid w:val="0015246A"/>
    <w:rsid w:val="00153DEA"/>
    <w:rsid w:val="001546DD"/>
    <w:rsid w:val="00154F65"/>
    <w:rsid w:val="00155217"/>
    <w:rsid w:val="00155905"/>
    <w:rsid w:val="00163EEE"/>
    <w:rsid w:val="00164756"/>
    <w:rsid w:val="00165CF9"/>
    <w:rsid w:val="00174FFD"/>
    <w:rsid w:val="001830D0"/>
    <w:rsid w:val="001915E7"/>
    <w:rsid w:val="00193ABB"/>
    <w:rsid w:val="0019502A"/>
    <w:rsid w:val="001A6EDB"/>
    <w:rsid w:val="001B0E67"/>
    <w:rsid w:val="001B5F27"/>
    <w:rsid w:val="001B6550"/>
    <w:rsid w:val="001B7275"/>
    <w:rsid w:val="001C1D61"/>
    <w:rsid w:val="001C3F2F"/>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0AE"/>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56742"/>
    <w:rsid w:val="0026224A"/>
    <w:rsid w:val="00264AD1"/>
    <w:rsid w:val="002667B7"/>
    <w:rsid w:val="00267D8C"/>
    <w:rsid w:val="00272138"/>
    <w:rsid w:val="002721C1"/>
    <w:rsid w:val="00272986"/>
    <w:rsid w:val="00274640"/>
    <w:rsid w:val="002760EE"/>
    <w:rsid w:val="002772A5"/>
    <w:rsid w:val="0028037A"/>
    <w:rsid w:val="00280FB4"/>
    <w:rsid w:val="00290686"/>
    <w:rsid w:val="002938A0"/>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1B8"/>
    <w:rsid w:val="00314233"/>
    <w:rsid w:val="00322AC2"/>
    <w:rsid w:val="00323B50"/>
    <w:rsid w:val="00327B81"/>
    <w:rsid w:val="003303A2"/>
    <w:rsid w:val="003322BA"/>
    <w:rsid w:val="00332EB2"/>
    <w:rsid w:val="00335723"/>
    <w:rsid w:val="00337BB9"/>
    <w:rsid w:val="00337CEB"/>
    <w:rsid w:val="003436DA"/>
    <w:rsid w:val="0034493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1C76"/>
    <w:rsid w:val="003B355B"/>
    <w:rsid w:val="003B3994"/>
    <w:rsid w:val="003B419A"/>
    <w:rsid w:val="003B5138"/>
    <w:rsid w:val="003B78C5"/>
    <w:rsid w:val="003C07D2"/>
    <w:rsid w:val="003C251B"/>
    <w:rsid w:val="003C507B"/>
    <w:rsid w:val="003D0D44"/>
    <w:rsid w:val="003D12E4"/>
    <w:rsid w:val="003D4D4A"/>
    <w:rsid w:val="003D6852"/>
    <w:rsid w:val="003E599B"/>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6C9F"/>
    <w:rsid w:val="004378C7"/>
    <w:rsid w:val="00441A81"/>
    <w:rsid w:val="004448CB"/>
    <w:rsid w:val="004454F6"/>
    <w:rsid w:val="00451FA3"/>
    <w:rsid w:val="004536AB"/>
    <w:rsid w:val="00453E6F"/>
    <w:rsid w:val="00455043"/>
    <w:rsid w:val="00461E78"/>
    <w:rsid w:val="0046272D"/>
    <w:rsid w:val="0047017E"/>
    <w:rsid w:val="00470B63"/>
    <w:rsid w:val="00471A17"/>
    <w:rsid w:val="004724DC"/>
    <w:rsid w:val="00475906"/>
    <w:rsid w:val="00475AE2"/>
    <w:rsid w:val="0047794A"/>
    <w:rsid w:val="00477A1C"/>
    <w:rsid w:val="00477B8E"/>
    <w:rsid w:val="00483B7F"/>
    <w:rsid w:val="0048457F"/>
    <w:rsid w:val="00487B6F"/>
    <w:rsid w:val="004925CE"/>
    <w:rsid w:val="00493C66"/>
    <w:rsid w:val="0049486A"/>
    <w:rsid w:val="004A2DF2"/>
    <w:rsid w:val="004B0153"/>
    <w:rsid w:val="004B41BC"/>
    <w:rsid w:val="004B6FF4"/>
    <w:rsid w:val="004D6EED"/>
    <w:rsid w:val="004D73D3"/>
    <w:rsid w:val="004E49DF"/>
    <w:rsid w:val="004E513F"/>
    <w:rsid w:val="004F077B"/>
    <w:rsid w:val="005001C5"/>
    <w:rsid w:val="00502C4B"/>
    <w:rsid w:val="005039E7"/>
    <w:rsid w:val="0050660E"/>
    <w:rsid w:val="005109B5"/>
    <w:rsid w:val="00512795"/>
    <w:rsid w:val="00512BDF"/>
    <w:rsid w:val="005161BF"/>
    <w:rsid w:val="0052308E"/>
    <w:rsid w:val="005232CE"/>
    <w:rsid w:val="005237D3"/>
    <w:rsid w:val="00526060"/>
    <w:rsid w:val="00530BE1"/>
    <w:rsid w:val="00531849"/>
    <w:rsid w:val="005341A0"/>
    <w:rsid w:val="00537778"/>
    <w:rsid w:val="00542E97"/>
    <w:rsid w:val="00544B77"/>
    <w:rsid w:val="00550737"/>
    <w:rsid w:val="00552D2A"/>
    <w:rsid w:val="0056157E"/>
    <w:rsid w:val="0056373E"/>
    <w:rsid w:val="0056501E"/>
    <w:rsid w:val="00571719"/>
    <w:rsid w:val="00571A8B"/>
    <w:rsid w:val="00572EF2"/>
    <w:rsid w:val="00573192"/>
    <w:rsid w:val="00573770"/>
    <w:rsid w:val="005755DB"/>
    <w:rsid w:val="00576975"/>
    <w:rsid w:val="005777E6"/>
    <w:rsid w:val="005828DA"/>
    <w:rsid w:val="00583477"/>
    <w:rsid w:val="005840C0"/>
    <w:rsid w:val="00586A81"/>
    <w:rsid w:val="005901D4"/>
    <w:rsid w:val="00592BFE"/>
    <w:rsid w:val="005948A7"/>
    <w:rsid w:val="005A17BC"/>
    <w:rsid w:val="005A2494"/>
    <w:rsid w:val="005A73F7"/>
    <w:rsid w:val="005C7438"/>
    <w:rsid w:val="005D35F3"/>
    <w:rsid w:val="005D5E8E"/>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9EF"/>
    <w:rsid w:val="00673BD7"/>
    <w:rsid w:val="0068306A"/>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6A0A"/>
    <w:rsid w:val="006F7BF8"/>
    <w:rsid w:val="00700FB4"/>
    <w:rsid w:val="00702A38"/>
    <w:rsid w:val="0070602C"/>
    <w:rsid w:val="00706857"/>
    <w:rsid w:val="00707DF7"/>
    <w:rsid w:val="00717DBE"/>
    <w:rsid w:val="00720025"/>
    <w:rsid w:val="007268A0"/>
    <w:rsid w:val="00727763"/>
    <w:rsid w:val="007278C5"/>
    <w:rsid w:val="007316DC"/>
    <w:rsid w:val="00737469"/>
    <w:rsid w:val="00740393"/>
    <w:rsid w:val="00742136"/>
    <w:rsid w:val="00744356"/>
    <w:rsid w:val="00745353"/>
    <w:rsid w:val="00750400"/>
    <w:rsid w:val="007515C1"/>
    <w:rsid w:val="00756C9B"/>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2766"/>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9A0"/>
    <w:rsid w:val="008317DD"/>
    <w:rsid w:val="00833A9E"/>
    <w:rsid w:val="00837F88"/>
    <w:rsid w:val="008425C1"/>
    <w:rsid w:val="0084262B"/>
    <w:rsid w:val="00843EB6"/>
    <w:rsid w:val="00844ABA"/>
    <w:rsid w:val="0084781C"/>
    <w:rsid w:val="00855AEC"/>
    <w:rsid w:val="00855F56"/>
    <w:rsid w:val="008570BA"/>
    <w:rsid w:val="00860ECA"/>
    <w:rsid w:val="00862A2E"/>
    <w:rsid w:val="0086679B"/>
    <w:rsid w:val="00870EF2"/>
    <w:rsid w:val="008717C5"/>
    <w:rsid w:val="008822C1"/>
    <w:rsid w:val="00882B7D"/>
    <w:rsid w:val="0088338B"/>
    <w:rsid w:val="00883D59"/>
    <w:rsid w:val="008840B1"/>
    <w:rsid w:val="0088496F"/>
    <w:rsid w:val="00884C49"/>
    <w:rsid w:val="008858C6"/>
    <w:rsid w:val="00886FB6"/>
    <w:rsid w:val="008923A8"/>
    <w:rsid w:val="00897EA5"/>
    <w:rsid w:val="008B5152"/>
    <w:rsid w:val="008B56EA"/>
    <w:rsid w:val="008B77D8"/>
    <w:rsid w:val="008C07EC"/>
    <w:rsid w:val="008C1560"/>
    <w:rsid w:val="008C4FAF"/>
    <w:rsid w:val="008C5359"/>
    <w:rsid w:val="008D6492"/>
    <w:rsid w:val="008D7182"/>
    <w:rsid w:val="008E5B20"/>
    <w:rsid w:val="008E68BC"/>
    <w:rsid w:val="008F2BEE"/>
    <w:rsid w:val="009053C8"/>
    <w:rsid w:val="00906343"/>
    <w:rsid w:val="00910413"/>
    <w:rsid w:val="00912CDC"/>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1D46"/>
    <w:rsid w:val="0098276C"/>
    <w:rsid w:val="00983C53"/>
    <w:rsid w:val="00986F7E"/>
    <w:rsid w:val="00994782"/>
    <w:rsid w:val="009A26DA"/>
    <w:rsid w:val="009B45F6"/>
    <w:rsid w:val="009B5C4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479"/>
    <w:rsid w:val="00A21A2B"/>
    <w:rsid w:val="00A2265D"/>
    <w:rsid w:val="00A2373D"/>
    <w:rsid w:val="00A24E55"/>
    <w:rsid w:val="00A26B95"/>
    <w:rsid w:val="00A319B1"/>
    <w:rsid w:val="00A31B74"/>
    <w:rsid w:val="00A327AB"/>
    <w:rsid w:val="00A3646E"/>
    <w:rsid w:val="00A42797"/>
    <w:rsid w:val="00A52BDD"/>
    <w:rsid w:val="00A53C22"/>
    <w:rsid w:val="00A600AA"/>
    <w:rsid w:val="00A6120F"/>
    <w:rsid w:val="00A623FE"/>
    <w:rsid w:val="00A713E3"/>
    <w:rsid w:val="00A72534"/>
    <w:rsid w:val="00A75A0E"/>
    <w:rsid w:val="00A809C5"/>
    <w:rsid w:val="00A842B7"/>
    <w:rsid w:val="00A86FF6"/>
    <w:rsid w:val="00A87EC5"/>
    <w:rsid w:val="00A91761"/>
    <w:rsid w:val="00A94967"/>
    <w:rsid w:val="00A95FCE"/>
    <w:rsid w:val="00A97CAE"/>
    <w:rsid w:val="00AA387B"/>
    <w:rsid w:val="00AA6F19"/>
    <w:rsid w:val="00AB12CF"/>
    <w:rsid w:val="00AB1466"/>
    <w:rsid w:val="00AC0DD5"/>
    <w:rsid w:val="00AC3119"/>
    <w:rsid w:val="00AC3140"/>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31E"/>
    <w:rsid w:val="00BF78FB"/>
    <w:rsid w:val="00C05E6D"/>
    <w:rsid w:val="00C06151"/>
    <w:rsid w:val="00C06DF4"/>
    <w:rsid w:val="00C1038A"/>
    <w:rsid w:val="00C11BB7"/>
    <w:rsid w:val="00C12C02"/>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2DD"/>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5DD6"/>
    <w:rsid w:val="00D5634E"/>
    <w:rsid w:val="00D6275A"/>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3DBC"/>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37208"/>
    <w:rsid w:val="00E406C7"/>
    <w:rsid w:val="00E40FDC"/>
    <w:rsid w:val="00E41211"/>
    <w:rsid w:val="00E4457E"/>
    <w:rsid w:val="00E45282"/>
    <w:rsid w:val="00E47B6D"/>
    <w:rsid w:val="00E51DF5"/>
    <w:rsid w:val="00E66491"/>
    <w:rsid w:val="00E7024C"/>
    <w:rsid w:val="00E70D83"/>
    <w:rsid w:val="00E70F35"/>
    <w:rsid w:val="00E7288E"/>
    <w:rsid w:val="00E73826"/>
    <w:rsid w:val="00E7596C"/>
    <w:rsid w:val="00E82718"/>
    <w:rsid w:val="00E840DC"/>
    <w:rsid w:val="00E8439B"/>
    <w:rsid w:val="00E92947"/>
    <w:rsid w:val="00E94108"/>
    <w:rsid w:val="00EA0AB9"/>
    <w:rsid w:val="00EA3AC2"/>
    <w:rsid w:val="00EA55CD"/>
    <w:rsid w:val="00EA5A76"/>
    <w:rsid w:val="00EA5FA3"/>
    <w:rsid w:val="00EA6628"/>
    <w:rsid w:val="00EB33C3"/>
    <w:rsid w:val="00EB424E"/>
    <w:rsid w:val="00EC3846"/>
    <w:rsid w:val="00EC6C31"/>
    <w:rsid w:val="00EC7681"/>
    <w:rsid w:val="00ED0167"/>
    <w:rsid w:val="00ED1405"/>
    <w:rsid w:val="00ED1EED"/>
    <w:rsid w:val="00ED55BD"/>
    <w:rsid w:val="00ED6B00"/>
    <w:rsid w:val="00EE2300"/>
    <w:rsid w:val="00EE23C2"/>
    <w:rsid w:val="00EE2A3A"/>
    <w:rsid w:val="00EF1651"/>
    <w:rsid w:val="00EF33F5"/>
    <w:rsid w:val="00EF472A"/>
    <w:rsid w:val="00EF4D95"/>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D82"/>
    <w:rsid w:val="00F73B7F"/>
    <w:rsid w:val="00F76C9F"/>
    <w:rsid w:val="00F82FB8"/>
    <w:rsid w:val="00F83011"/>
    <w:rsid w:val="00F8452A"/>
    <w:rsid w:val="00F87EC8"/>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7F9B8DE"/>
  <w15:docId w15:val="{21D5C55D-0933-4743-A0F3-1783D8A1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D9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0">
    <w:name w:val="Style0"/>
    <w:rsid w:val="00EF4D95"/>
    <w:pPr>
      <w:autoSpaceDE w:val="0"/>
      <w:autoSpaceDN w:val="0"/>
      <w:adjustRightInd w:val="0"/>
    </w:pPr>
    <w:rPr>
      <w:sz w:val="24"/>
      <w:szCs w:val="24"/>
    </w:rPr>
  </w:style>
  <w:style w:type="paragraph" w:customStyle="1" w:styleId="StyleStyle0TimesNewRomanBlack">
    <w:name w:val="Style Style0 + Times New Roman Black"/>
    <w:basedOn w:val="Style0"/>
    <w:rsid w:val="00EF4D95"/>
    <w:rPr>
      <w:color w:val="000000"/>
    </w:rPr>
  </w:style>
  <w:style w:type="character" w:styleId="PlaceholderText">
    <w:name w:val="Placeholder Text"/>
    <w:basedOn w:val="DefaultParagraphFont"/>
    <w:uiPriority w:val="99"/>
    <w:semiHidden/>
    <w:rsid w:val="00A612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49589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18</cp:revision>
  <dcterms:created xsi:type="dcterms:W3CDTF">2025-04-30T21:22:00Z</dcterms:created>
  <dcterms:modified xsi:type="dcterms:W3CDTF">2026-03-02T21:05:00Z</dcterms:modified>
</cp:coreProperties>
</file>