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F2" w:rsidRDefault="006020F2" w:rsidP="006020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20F2" w:rsidRDefault="006020F2" w:rsidP="006020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215.562  Paving Operations</w:t>
      </w:r>
      <w:r>
        <w:t xml:space="preserve"> </w:t>
      </w:r>
    </w:p>
    <w:p w:rsidR="006020F2" w:rsidRDefault="006020F2" w:rsidP="006020F2">
      <w:pPr>
        <w:widowControl w:val="0"/>
        <w:autoSpaceDE w:val="0"/>
        <w:autoSpaceDN w:val="0"/>
        <w:adjustRightInd w:val="0"/>
      </w:pPr>
    </w:p>
    <w:p w:rsidR="006020F2" w:rsidRDefault="006020F2" w:rsidP="006020F2">
      <w:pPr>
        <w:widowControl w:val="0"/>
        <w:autoSpaceDE w:val="0"/>
        <w:autoSpaceDN w:val="0"/>
        <w:adjustRightInd w:val="0"/>
      </w:pPr>
      <w:r>
        <w:t xml:space="preserve">The provisions of Sections 215.301 and 215.302 shall not apply to the application of paving asphalt and pavement marking paint from sunrise to sunset. </w:t>
      </w:r>
    </w:p>
    <w:p w:rsidR="006020F2" w:rsidRDefault="006020F2" w:rsidP="006020F2">
      <w:pPr>
        <w:widowControl w:val="0"/>
        <w:autoSpaceDE w:val="0"/>
        <w:autoSpaceDN w:val="0"/>
        <w:adjustRightInd w:val="0"/>
      </w:pPr>
    </w:p>
    <w:p w:rsidR="006020F2" w:rsidRDefault="006020F2" w:rsidP="006020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30, p. 124, effective July 28, 1979) </w:t>
      </w:r>
    </w:p>
    <w:sectPr w:rsidR="006020F2" w:rsidSect="006020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0F2"/>
    <w:rsid w:val="004E3E0D"/>
    <w:rsid w:val="005C3366"/>
    <w:rsid w:val="006020F2"/>
    <w:rsid w:val="0088517C"/>
    <w:rsid w:val="00C4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