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59" w:rsidRDefault="00CE3C59" w:rsidP="00CE3C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3C59" w:rsidRDefault="00CE3C59" w:rsidP="00CE3C59">
      <w:pPr>
        <w:widowControl w:val="0"/>
        <w:autoSpaceDE w:val="0"/>
        <w:autoSpaceDN w:val="0"/>
        <w:adjustRightInd w:val="0"/>
        <w:jc w:val="center"/>
      </w:pPr>
      <w:r>
        <w:t>SUBPART U:  COKE MANUFACTURE AND</w:t>
      </w:r>
    </w:p>
    <w:p w:rsidR="00CE3C59" w:rsidRDefault="00CE3C59" w:rsidP="00CE3C59">
      <w:pPr>
        <w:widowControl w:val="0"/>
        <w:autoSpaceDE w:val="0"/>
        <w:autoSpaceDN w:val="0"/>
        <w:adjustRightInd w:val="0"/>
        <w:jc w:val="center"/>
      </w:pPr>
      <w:r>
        <w:t>BY-PRODUCT RECOVERY</w:t>
      </w:r>
    </w:p>
    <w:sectPr w:rsidR="00CE3C59" w:rsidSect="00CE3C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C59"/>
    <w:rsid w:val="005C3366"/>
    <w:rsid w:val="009D0858"/>
    <w:rsid w:val="00C76BF9"/>
    <w:rsid w:val="00CC0474"/>
    <w:rsid w:val="00C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COKE MANUFACTURE AND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COKE MANUFACTURE AND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