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74" w:rsidRDefault="00555D74" w:rsidP="00555D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5D74" w:rsidRDefault="00555D74" w:rsidP="00555D74">
      <w:pPr>
        <w:widowControl w:val="0"/>
        <w:autoSpaceDE w:val="0"/>
        <w:autoSpaceDN w:val="0"/>
        <w:adjustRightInd w:val="0"/>
        <w:jc w:val="center"/>
      </w:pPr>
      <w:r>
        <w:t>SUBPART I:  ADJUSTED REACT EMISSIONS LIMITATIONS</w:t>
      </w:r>
    </w:p>
    <w:sectPr w:rsidR="00555D74" w:rsidSect="00555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D74"/>
    <w:rsid w:val="000307B3"/>
    <w:rsid w:val="00536B10"/>
    <w:rsid w:val="00555D74"/>
    <w:rsid w:val="005C3366"/>
    <w:rsid w:val="00C1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ADJUSTED REACT EMISSIONS LIMITATIONS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ADJUSTED REACT EMISSIONS LIMITATIONS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