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134" w:rsidRDefault="00B31134" w:rsidP="00B311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1134" w:rsidRDefault="00B31134" w:rsidP="00B311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215.202  Compliance Schedules</w:t>
      </w:r>
      <w:r>
        <w:t xml:space="preserve"> </w:t>
      </w:r>
    </w:p>
    <w:p w:rsidR="00B31134" w:rsidRDefault="00B31134" w:rsidP="00B31134">
      <w:pPr>
        <w:widowControl w:val="0"/>
        <w:autoSpaceDE w:val="0"/>
        <w:autoSpaceDN w:val="0"/>
        <w:adjustRightInd w:val="0"/>
      </w:pPr>
    </w:p>
    <w:p w:rsidR="00B31134" w:rsidRDefault="00B31134" w:rsidP="00B31134">
      <w:pPr>
        <w:widowControl w:val="0"/>
        <w:autoSpaceDE w:val="0"/>
        <w:autoSpaceDN w:val="0"/>
        <w:adjustRightInd w:val="0"/>
      </w:pPr>
      <w:r>
        <w:t xml:space="preserve">Owners or operators of coating lines were required to take certain actions to achieve compliance which are set forth in Appendix C. </w:t>
      </w:r>
    </w:p>
    <w:p w:rsidR="00B31134" w:rsidRDefault="00B31134" w:rsidP="00B31134">
      <w:pPr>
        <w:widowControl w:val="0"/>
        <w:autoSpaceDE w:val="0"/>
        <w:autoSpaceDN w:val="0"/>
        <w:adjustRightInd w:val="0"/>
      </w:pPr>
    </w:p>
    <w:p w:rsidR="00B31134" w:rsidRDefault="00B31134" w:rsidP="00B311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30, p. 124, effective July 28, 1979) </w:t>
      </w:r>
    </w:p>
    <w:sectPr w:rsidR="00B31134" w:rsidSect="00B311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1134"/>
    <w:rsid w:val="00206795"/>
    <w:rsid w:val="005C3366"/>
    <w:rsid w:val="005E6F27"/>
    <w:rsid w:val="00A81D99"/>
    <w:rsid w:val="00B3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