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8A" w:rsidRDefault="008A798A" w:rsidP="008A79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798A" w:rsidRDefault="008A798A" w:rsidP="008A798A">
      <w:pPr>
        <w:widowControl w:val="0"/>
        <w:autoSpaceDE w:val="0"/>
        <w:autoSpaceDN w:val="0"/>
        <w:adjustRightInd w:val="0"/>
        <w:jc w:val="center"/>
      </w:pPr>
      <w:r>
        <w:t>SUBPART O:  PETROLEUM REFINING, PETROCHEMICAL</w:t>
      </w:r>
    </w:p>
    <w:p w:rsidR="008A798A" w:rsidRDefault="008A798A" w:rsidP="008A798A">
      <w:pPr>
        <w:widowControl w:val="0"/>
        <w:autoSpaceDE w:val="0"/>
        <w:autoSpaceDN w:val="0"/>
        <w:adjustRightInd w:val="0"/>
        <w:jc w:val="center"/>
      </w:pPr>
      <w:r>
        <w:t>AND CHEMICAL MANUFACTURING</w:t>
      </w:r>
    </w:p>
    <w:sectPr w:rsidR="008A798A" w:rsidSect="008A7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98A"/>
    <w:rsid w:val="000A64CE"/>
    <w:rsid w:val="005C3366"/>
    <w:rsid w:val="008A798A"/>
    <w:rsid w:val="00A43C82"/>
    <w:rsid w:val="00B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PETROLEUM REFINING, PETROCHEMICAL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PETROLEUM REFINING, PETROCHEMICAL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