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B9" w:rsidRDefault="005E24B9" w:rsidP="005E24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24B9" w:rsidRDefault="005E24B9" w:rsidP="005E24B9">
      <w:pPr>
        <w:widowControl w:val="0"/>
        <w:autoSpaceDE w:val="0"/>
        <w:autoSpaceDN w:val="0"/>
        <w:adjustRightInd w:val="0"/>
        <w:jc w:val="center"/>
      </w:pPr>
      <w:r>
        <w:t>SUBPART E:  AGGREGATION OF SOURCES</w:t>
      </w:r>
    </w:p>
    <w:p w:rsidR="005E24B9" w:rsidRDefault="005E24B9" w:rsidP="005E24B9">
      <w:pPr>
        <w:widowControl w:val="0"/>
        <w:autoSpaceDE w:val="0"/>
        <w:autoSpaceDN w:val="0"/>
        <w:adjustRightInd w:val="0"/>
        <w:jc w:val="center"/>
      </w:pPr>
      <w:r>
        <w:t>OUTSIDE METROPOLITAN AREAS</w:t>
      </w:r>
    </w:p>
    <w:sectPr w:rsidR="005E24B9" w:rsidSect="005E24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4B9"/>
    <w:rsid w:val="001D5A2A"/>
    <w:rsid w:val="005C3366"/>
    <w:rsid w:val="005D5C73"/>
    <w:rsid w:val="005E24B9"/>
    <w:rsid w:val="006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AGGREGATION OF SOURCES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AGGREGATION OF SOURCES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