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25" w:rsidRDefault="00406625" w:rsidP="004066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6625" w:rsidRDefault="00406625" w:rsidP="004066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212.450  Liquid Steel Charging</w:t>
      </w:r>
      <w:r>
        <w:t xml:space="preserve"> </w:t>
      </w:r>
    </w:p>
    <w:p w:rsidR="00406625" w:rsidRDefault="00406625" w:rsidP="00406625">
      <w:pPr>
        <w:widowControl w:val="0"/>
        <w:autoSpaceDE w:val="0"/>
        <w:autoSpaceDN w:val="0"/>
        <w:adjustRightInd w:val="0"/>
      </w:pPr>
    </w:p>
    <w:p w:rsidR="00406625" w:rsidRDefault="00406625" w:rsidP="00406625">
      <w:pPr>
        <w:widowControl w:val="0"/>
        <w:autoSpaceDE w:val="0"/>
        <w:autoSpaceDN w:val="0"/>
        <w:adjustRightInd w:val="0"/>
      </w:pPr>
      <w:r>
        <w:t xml:space="preserve">Particulate matter emissions from liquid steel charging in continuous casting operations shall be controlled by chemical or mechanical shrouds or methods of comparable effectiveness. </w:t>
      </w:r>
    </w:p>
    <w:p w:rsidR="00406625" w:rsidRDefault="00406625" w:rsidP="00406625">
      <w:pPr>
        <w:widowControl w:val="0"/>
        <w:autoSpaceDE w:val="0"/>
        <w:autoSpaceDN w:val="0"/>
        <w:adjustRightInd w:val="0"/>
      </w:pPr>
    </w:p>
    <w:p w:rsidR="00406625" w:rsidRDefault="00406625" w:rsidP="004066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39, p. 184, effective September 28, 1979) </w:t>
      </w:r>
    </w:p>
    <w:sectPr w:rsidR="00406625" w:rsidSect="004066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625"/>
    <w:rsid w:val="00406625"/>
    <w:rsid w:val="005C3366"/>
    <w:rsid w:val="00757782"/>
    <w:rsid w:val="00792D77"/>
    <w:rsid w:val="007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